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B9" w:rsidRPr="007D1ED4" w:rsidRDefault="008A59B9" w:rsidP="008A59B9"/>
    <w:p w:rsidR="008A59B9" w:rsidRPr="002C2F90" w:rsidRDefault="008A59B9" w:rsidP="008A59B9">
      <w:pPr>
        <w:jc w:val="center"/>
        <w:rPr>
          <w:rFonts w:asciiTheme="majorHAnsi" w:hAnsiTheme="majorHAnsi" w:cs="Calibri"/>
          <w:b/>
          <w:color w:val="000000"/>
          <w:sz w:val="28"/>
        </w:rPr>
      </w:pPr>
    </w:p>
    <w:p w:rsidR="008A59B9" w:rsidRDefault="008A59B9" w:rsidP="008A59B9">
      <w:pPr>
        <w:jc w:val="center"/>
        <w:rPr>
          <w:rFonts w:asciiTheme="majorHAnsi" w:hAnsiTheme="majorHAnsi"/>
          <w:b/>
          <w:sz w:val="28"/>
        </w:rPr>
      </w:pPr>
      <w:r>
        <w:rPr>
          <w:rFonts w:cs="Calibri"/>
          <w:noProof/>
          <w:lang w:eastAsia="en-AU"/>
        </w:rPr>
        <w:drawing>
          <wp:inline distT="0" distB="0" distL="0" distR="0" wp14:anchorId="39BDF2C6" wp14:editId="47175E9C">
            <wp:extent cx="364998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9980" cy="1676400"/>
                    </a:xfrm>
                    <a:prstGeom prst="rect">
                      <a:avLst/>
                    </a:prstGeom>
                    <a:noFill/>
                    <a:ln>
                      <a:noFill/>
                    </a:ln>
                  </pic:spPr>
                </pic:pic>
              </a:graphicData>
            </a:graphic>
          </wp:inline>
        </w:drawing>
      </w:r>
    </w:p>
    <w:p w:rsidR="008A59B9" w:rsidRDefault="008A59B9" w:rsidP="008A59B9">
      <w:pPr>
        <w:jc w:val="center"/>
        <w:rPr>
          <w:rFonts w:asciiTheme="majorHAnsi" w:hAnsiTheme="majorHAnsi"/>
          <w:b/>
          <w:sz w:val="28"/>
        </w:rPr>
      </w:pPr>
    </w:p>
    <w:p w:rsidR="008A59B9" w:rsidRDefault="008A59B9" w:rsidP="008A59B9">
      <w:pPr>
        <w:jc w:val="center"/>
        <w:rPr>
          <w:rFonts w:asciiTheme="majorHAnsi" w:hAnsiTheme="majorHAnsi"/>
          <w:b/>
          <w:sz w:val="28"/>
        </w:rPr>
      </w:pPr>
    </w:p>
    <w:p w:rsidR="008A59B9" w:rsidRDefault="008A59B9" w:rsidP="008A59B9">
      <w:pPr>
        <w:jc w:val="center"/>
        <w:rPr>
          <w:rFonts w:asciiTheme="majorHAnsi" w:hAnsiTheme="majorHAnsi"/>
          <w:b/>
          <w:sz w:val="28"/>
        </w:rPr>
      </w:pPr>
    </w:p>
    <w:p w:rsidR="008A59B9" w:rsidRPr="002C2F90" w:rsidRDefault="008A59B9" w:rsidP="008A59B9">
      <w:pPr>
        <w:jc w:val="center"/>
        <w:rPr>
          <w:rFonts w:asciiTheme="majorHAnsi" w:hAnsiTheme="majorHAnsi"/>
          <w:b/>
          <w:sz w:val="28"/>
        </w:rPr>
      </w:pPr>
    </w:p>
    <w:p w:rsidR="008A59B9" w:rsidRPr="00632673" w:rsidRDefault="008A59B9" w:rsidP="00E2018A">
      <w:pPr>
        <w:jc w:val="center"/>
        <w:rPr>
          <w:rFonts w:asciiTheme="majorHAnsi" w:hAnsiTheme="majorHAnsi"/>
          <w:b/>
          <w:i/>
          <w:sz w:val="36"/>
          <w:szCs w:val="36"/>
        </w:rPr>
      </w:pPr>
      <w:r w:rsidRPr="00632673">
        <w:rPr>
          <w:rFonts w:asciiTheme="majorHAnsi" w:hAnsiTheme="majorHAnsi"/>
          <w:b/>
          <w:i/>
          <w:sz w:val="36"/>
          <w:szCs w:val="36"/>
        </w:rPr>
        <w:t xml:space="preserve">Submission to </w:t>
      </w:r>
      <w:r>
        <w:rPr>
          <w:rFonts w:asciiTheme="majorHAnsi" w:hAnsiTheme="majorHAnsi"/>
          <w:b/>
          <w:i/>
          <w:sz w:val="36"/>
          <w:szCs w:val="36"/>
        </w:rPr>
        <w:t>t</w:t>
      </w:r>
      <w:r w:rsidRPr="00632673">
        <w:rPr>
          <w:rFonts w:asciiTheme="majorHAnsi" w:hAnsiTheme="majorHAnsi"/>
          <w:b/>
          <w:i/>
          <w:sz w:val="36"/>
          <w:szCs w:val="36"/>
        </w:rPr>
        <w:t>he Treasury</w:t>
      </w:r>
    </w:p>
    <w:p w:rsidR="008A59B9" w:rsidRPr="002C2F90" w:rsidRDefault="008A59B9" w:rsidP="008A59B9">
      <w:pPr>
        <w:jc w:val="center"/>
        <w:rPr>
          <w:rFonts w:asciiTheme="majorHAnsi" w:hAnsiTheme="majorHAnsi"/>
          <w:b/>
          <w:sz w:val="36"/>
          <w:szCs w:val="36"/>
        </w:rPr>
      </w:pPr>
    </w:p>
    <w:p w:rsidR="008A59B9" w:rsidRPr="002C2F90" w:rsidRDefault="008A59B9" w:rsidP="008A59B9">
      <w:pPr>
        <w:jc w:val="center"/>
        <w:rPr>
          <w:rFonts w:asciiTheme="majorHAnsi" w:hAnsiTheme="majorHAnsi"/>
          <w:b/>
          <w:sz w:val="36"/>
          <w:szCs w:val="36"/>
        </w:rPr>
      </w:pPr>
    </w:p>
    <w:p w:rsidR="008A59B9" w:rsidRPr="00533B68" w:rsidRDefault="008A59B9" w:rsidP="008A59B9">
      <w:pPr>
        <w:jc w:val="center"/>
        <w:rPr>
          <w:rFonts w:asciiTheme="majorHAnsi" w:hAnsiTheme="majorHAnsi"/>
          <w:b/>
          <w:sz w:val="32"/>
          <w:szCs w:val="32"/>
        </w:rPr>
      </w:pPr>
    </w:p>
    <w:p w:rsidR="008A59B9" w:rsidRPr="00533B68" w:rsidRDefault="008A59B9" w:rsidP="008A59B9">
      <w:pPr>
        <w:jc w:val="center"/>
        <w:rPr>
          <w:rFonts w:asciiTheme="majorHAnsi" w:hAnsiTheme="majorHAnsi"/>
          <w:b/>
          <w:sz w:val="32"/>
          <w:szCs w:val="32"/>
        </w:rPr>
      </w:pPr>
      <w:r>
        <w:rPr>
          <w:rFonts w:asciiTheme="majorHAnsi" w:hAnsiTheme="majorHAnsi"/>
          <w:b/>
          <w:sz w:val="32"/>
          <w:szCs w:val="32"/>
        </w:rPr>
        <w:t xml:space="preserve">Establishment of the Australian Charities and Not-for-profit Commission (ACNC) </w:t>
      </w:r>
    </w:p>
    <w:p w:rsidR="008A59B9" w:rsidRDefault="009D340E" w:rsidP="009D340E">
      <w:pPr>
        <w:tabs>
          <w:tab w:val="left" w:pos="6684"/>
        </w:tabs>
        <w:rPr>
          <w:rFonts w:asciiTheme="majorHAnsi" w:hAnsiTheme="majorHAnsi"/>
          <w:b/>
          <w:sz w:val="28"/>
        </w:rPr>
      </w:pPr>
      <w:r>
        <w:rPr>
          <w:rFonts w:asciiTheme="majorHAnsi" w:hAnsiTheme="majorHAnsi"/>
          <w:b/>
          <w:sz w:val="28"/>
        </w:rPr>
        <w:tab/>
      </w:r>
    </w:p>
    <w:p w:rsidR="009D340E" w:rsidRPr="002C2F90" w:rsidRDefault="009D340E" w:rsidP="009D340E">
      <w:pPr>
        <w:tabs>
          <w:tab w:val="left" w:pos="6684"/>
        </w:tabs>
        <w:rPr>
          <w:rFonts w:asciiTheme="majorHAnsi" w:hAnsiTheme="majorHAnsi"/>
          <w:b/>
          <w:sz w:val="28"/>
        </w:rPr>
      </w:pPr>
    </w:p>
    <w:p w:rsidR="009D340E" w:rsidRPr="009D340E" w:rsidRDefault="008A59B9" w:rsidP="009D340E">
      <w:pPr>
        <w:pBdr>
          <w:top w:val="single" w:sz="2" w:space="0" w:color="CCCC99"/>
          <w:left w:val="single" w:sz="2" w:space="0" w:color="CCCC99"/>
          <w:bottom w:val="single" w:sz="6" w:space="8" w:color="CCCC99"/>
          <w:right w:val="single" w:sz="2" w:space="0" w:color="CCCC99"/>
        </w:pBdr>
        <w:spacing w:after="48" w:line="252" w:lineRule="atLeast"/>
        <w:jc w:val="both"/>
        <w:outlineLvl w:val="1"/>
        <w:rPr>
          <w:rFonts w:ascii="Arial" w:eastAsia="Times New Roman" w:hAnsi="Arial" w:cs="Arial"/>
          <w:color w:val="004080"/>
          <w:kern w:val="36"/>
          <w:sz w:val="43"/>
          <w:szCs w:val="43"/>
          <w:lang w:eastAsia="en-AU"/>
        </w:rPr>
      </w:pPr>
      <w:r>
        <w:rPr>
          <w:rFonts w:asciiTheme="majorHAnsi" w:hAnsiTheme="majorHAnsi"/>
          <w:b/>
          <w:sz w:val="28"/>
        </w:rPr>
        <w:t xml:space="preserve">This submission addresses the issues outlined in the </w:t>
      </w:r>
      <w:r w:rsidR="009D340E" w:rsidRPr="009D340E">
        <w:rPr>
          <w:rFonts w:asciiTheme="majorHAnsi" w:hAnsiTheme="majorHAnsi"/>
          <w:b/>
          <w:i/>
          <w:sz w:val="28"/>
        </w:rPr>
        <w:t>‘Exposure Draft - Australian Charities and Not-for-profits Commission Bill’</w:t>
      </w:r>
      <w:r w:rsidR="009D340E" w:rsidRPr="009D340E">
        <w:rPr>
          <w:rFonts w:asciiTheme="majorHAnsi" w:hAnsiTheme="majorHAnsi"/>
          <w:b/>
          <w:sz w:val="28"/>
        </w:rPr>
        <w:t xml:space="preserve"> and the </w:t>
      </w:r>
      <w:r w:rsidR="009D340E" w:rsidRPr="009D340E">
        <w:rPr>
          <w:rFonts w:asciiTheme="majorHAnsi" w:hAnsiTheme="majorHAnsi"/>
          <w:b/>
          <w:i/>
          <w:sz w:val="28"/>
        </w:rPr>
        <w:t>‘Consultation Paper - Review of Not-for-profit Governance Arrangements’</w:t>
      </w:r>
      <w:r w:rsidR="009D340E">
        <w:rPr>
          <w:rFonts w:asciiTheme="majorHAnsi" w:hAnsiTheme="majorHAnsi"/>
          <w:b/>
          <w:sz w:val="28"/>
        </w:rPr>
        <w:t>.</w:t>
      </w:r>
    </w:p>
    <w:p w:rsidR="008A59B9" w:rsidRDefault="008A59B9" w:rsidP="008A59B9">
      <w:pPr>
        <w:jc w:val="center"/>
        <w:rPr>
          <w:rFonts w:asciiTheme="majorHAnsi" w:hAnsiTheme="majorHAnsi"/>
          <w:b/>
          <w:sz w:val="28"/>
        </w:rPr>
      </w:pPr>
    </w:p>
    <w:p w:rsidR="009D340E" w:rsidRPr="002C2F90" w:rsidRDefault="009D340E" w:rsidP="008A59B9">
      <w:pPr>
        <w:jc w:val="center"/>
        <w:rPr>
          <w:rFonts w:asciiTheme="majorHAnsi" w:hAnsiTheme="majorHAnsi"/>
          <w:b/>
          <w:sz w:val="28"/>
        </w:rPr>
      </w:pPr>
    </w:p>
    <w:p w:rsidR="008A59B9" w:rsidRPr="00533B68" w:rsidRDefault="008A59B9" w:rsidP="008A59B9">
      <w:pPr>
        <w:jc w:val="center"/>
        <w:rPr>
          <w:rFonts w:asciiTheme="majorHAnsi" w:hAnsiTheme="majorHAnsi"/>
          <w:b/>
          <w:i/>
          <w:sz w:val="28"/>
        </w:rPr>
      </w:pPr>
      <w:r>
        <w:rPr>
          <w:rFonts w:asciiTheme="majorHAnsi" w:hAnsiTheme="majorHAnsi"/>
          <w:b/>
          <w:i/>
          <w:sz w:val="28"/>
        </w:rPr>
        <w:t>January 2012</w:t>
      </w:r>
    </w:p>
    <w:p w:rsidR="008A59B9" w:rsidRPr="00533B68" w:rsidRDefault="008A59B9" w:rsidP="008A59B9">
      <w:pPr>
        <w:jc w:val="center"/>
        <w:rPr>
          <w:rFonts w:asciiTheme="majorHAnsi" w:hAnsiTheme="majorHAnsi"/>
          <w:b/>
          <w:i/>
          <w:sz w:val="28"/>
        </w:rPr>
      </w:pPr>
    </w:p>
    <w:p w:rsidR="008A59B9" w:rsidRDefault="008A59B9" w:rsidP="008A59B9">
      <w:pPr>
        <w:rPr>
          <w:rFonts w:asciiTheme="majorHAnsi" w:hAnsiTheme="majorHAnsi"/>
          <w:b/>
          <w:i/>
          <w:sz w:val="28"/>
        </w:rPr>
      </w:pPr>
    </w:p>
    <w:p w:rsidR="008A59B9" w:rsidRDefault="008A59B9" w:rsidP="008A59B9">
      <w:pPr>
        <w:rPr>
          <w:rFonts w:asciiTheme="majorHAnsi" w:hAnsiTheme="majorHAnsi"/>
          <w:b/>
          <w:i/>
          <w:sz w:val="28"/>
        </w:rPr>
      </w:pPr>
    </w:p>
    <w:p w:rsidR="008A59B9" w:rsidRDefault="008A59B9" w:rsidP="009D340E">
      <w:pPr>
        <w:spacing w:after="200"/>
        <w:ind w:left="0"/>
        <w:rPr>
          <w:rFonts w:asciiTheme="majorHAnsi" w:hAnsiTheme="majorHAnsi"/>
          <w:b/>
          <w:i/>
          <w:sz w:val="28"/>
        </w:rPr>
        <w:sectPr w:rsidR="008A59B9" w:rsidSect="00207345">
          <w:headerReference w:type="default" r:id="rId10"/>
          <w:footerReference w:type="default" r:id="rId11"/>
          <w:pgSz w:w="11906" w:h="16838"/>
          <w:pgMar w:top="1134" w:right="1134" w:bottom="1134" w:left="1134" w:header="709" w:footer="709" w:gutter="0"/>
          <w:cols w:space="708"/>
          <w:titlePg/>
          <w:docGrid w:linePitch="360"/>
        </w:sectPr>
      </w:pPr>
    </w:p>
    <w:p w:rsidR="008A59B9" w:rsidRPr="00D578E0" w:rsidRDefault="008A59B9" w:rsidP="008A59B9">
      <w:pPr>
        <w:rPr>
          <w:rFonts w:cs="Calibri"/>
        </w:rPr>
      </w:pPr>
      <w:r w:rsidRPr="00D578E0">
        <w:rPr>
          <w:rFonts w:asciiTheme="majorHAnsi" w:hAnsiTheme="majorHAnsi"/>
          <w:b/>
          <w:sz w:val="28"/>
        </w:rPr>
        <w:lastRenderedPageBreak/>
        <w:t>Introduction</w:t>
      </w:r>
    </w:p>
    <w:p w:rsidR="009D340E" w:rsidRPr="00D578E0" w:rsidRDefault="008A59B9" w:rsidP="008A59B9">
      <w:pPr>
        <w:spacing w:after="180"/>
        <w:rPr>
          <w:rFonts w:cs="Calibri"/>
        </w:rPr>
      </w:pPr>
      <w:r w:rsidRPr="00D578E0">
        <w:rPr>
          <w:rFonts w:cs="Calibri"/>
        </w:rPr>
        <w:t xml:space="preserve">This submission briefly outlines some of the key issues for Australia’s not-for-profit sector in response to the release by Treasury of </w:t>
      </w:r>
      <w:r w:rsidR="009D340E" w:rsidRPr="00D578E0">
        <w:rPr>
          <w:rFonts w:cs="Calibri"/>
        </w:rPr>
        <w:t>the Exposure Draft – Australian Charities and Not-for-profit Commission and the associated Treasury Consultation Paper</w:t>
      </w:r>
      <w:r w:rsidR="00297B22">
        <w:rPr>
          <w:rFonts w:cs="Calibri"/>
        </w:rPr>
        <w:t xml:space="preserve"> -</w:t>
      </w:r>
      <w:r w:rsidR="009D340E" w:rsidRPr="00D578E0">
        <w:rPr>
          <w:rFonts w:cs="Calibri"/>
        </w:rPr>
        <w:t xml:space="preserve"> Review of Governance Arrangements for Not-for-profit Sector. </w:t>
      </w:r>
    </w:p>
    <w:p w:rsidR="009D340E" w:rsidRPr="00D578E0" w:rsidRDefault="008A59B9" w:rsidP="009D340E">
      <w:pPr>
        <w:spacing w:after="180"/>
        <w:rPr>
          <w:rFonts w:cs="Calibri"/>
        </w:rPr>
      </w:pPr>
      <w:r w:rsidRPr="00D578E0">
        <w:rPr>
          <w:rFonts w:cs="Calibri"/>
        </w:rPr>
        <w:t>This submission has been prepared with the members of the Community Council for Australia (see Attachment 1 listing of CCA members) as well as other key organisations and individuals working in and with the not-for-profit sector</w:t>
      </w:r>
      <w:r w:rsidR="009D340E" w:rsidRPr="00D578E0">
        <w:rPr>
          <w:rFonts w:cs="Calibri"/>
        </w:rPr>
        <w:t xml:space="preserve">. </w:t>
      </w:r>
    </w:p>
    <w:p w:rsidR="008A59B9" w:rsidRPr="00D578E0" w:rsidRDefault="008A59B9" w:rsidP="009D340E">
      <w:pPr>
        <w:spacing w:after="180"/>
        <w:rPr>
          <w:rFonts w:cs="Calibri"/>
        </w:rPr>
      </w:pPr>
      <w:r w:rsidRPr="00D578E0">
        <w:rPr>
          <w:rFonts w:cs="Calibri"/>
        </w:rPr>
        <w:t>It is important to note that this submission does not over-ride the policy positions outlined in the individual submissions from CCA members.  In endeavouring to provide concise and useful input in re</w:t>
      </w:r>
      <w:r w:rsidR="009D340E" w:rsidRPr="00D578E0">
        <w:rPr>
          <w:rFonts w:cs="Calibri"/>
        </w:rPr>
        <w:t>sponse</w:t>
      </w:r>
      <w:r w:rsidRPr="00D578E0">
        <w:rPr>
          <w:rFonts w:cs="Calibri"/>
        </w:rPr>
        <w:t xml:space="preserve">, this submission is divided into the following sub headings: </w:t>
      </w:r>
    </w:p>
    <w:p w:rsidR="008A59B9" w:rsidRPr="00D578E0" w:rsidRDefault="008A59B9" w:rsidP="00D578E0">
      <w:pPr>
        <w:pStyle w:val="ListParagraph"/>
        <w:numPr>
          <w:ilvl w:val="0"/>
          <w:numId w:val="30"/>
        </w:numPr>
        <w:spacing w:before="0" w:after="80"/>
        <w:ind w:hanging="357"/>
        <w:rPr>
          <w:rFonts w:cs="Calibri"/>
        </w:rPr>
      </w:pPr>
      <w:r w:rsidRPr="00D578E0">
        <w:rPr>
          <w:rFonts w:cs="Calibri"/>
        </w:rPr>
        <w:t xml:space="preserve">Introduction </w:t>
      </w:r>
    </w:p>
    <w:p w:rsidR="008A59B9" w:rsidRPr="00D578E0" w:rsidRDefault="008A59B9" w:rsidP="00D578E0">
      <w:pPr>
        <w:pStyle w:val="ListParagraph"/>
        <w:numPr>
          <w:ilvl w:val="0"/>
          <w:numId w:val="30"/>
        </w:numPr>
        <w:spacing w:before="0" w:after="80"/>
        <w:ind w:hanging="357"/>
        <w:rPr>
          <w:rFonts w:cs="Calibri"/>
        </w:rPr>
      </w:pPr>
      <w:r w:rsidRPr="00D578E0">
        <w:rPr>
          <w:rFonts w:cs="Calibri"/>
        </w:rPr>
        <w:t>About CCA</w:t>
      </w:r>
    </w:p>
    <w:p w:rsidR="008A59B9" w:rsidRPr="00D578E0" w:rsidRDefault="008A59B9" w:rsidP="00D578E0">
      <w:pPr>
        <w:pStyle w:val="ListParagraph"/>
        <w:numPr>
          <w:ilvl w:val="0"/>
          <w:numId w:val="30"/>
        </w:numPr>
        <w:spacing w:before="0" w:after="80"/>
        <w:ind w:hanging="357"/>
        <w:rPr>
          <w:rFonts w:cs="Calibri"/>
        </w:rPr>
      </w:pPr>
      <w:r w:rsidRPr="00D578E0">
        <w:rPr>
          <w:rFonts w:cs="Calibri"/>
        </w:rPr>
        <w:t>Executive Summary and Recommendations</w:t>
      </w:r>
    </w:p>
    <w:p w:rsidR="008A59B9" w:rsidRPr="00D578E0" w:rsidRDefault="001140EF" w:rsidP="00D578E0">
      <w:pPr>
        <w:pStyle w:val="ListParagraph"/>
        <w:numPr>
          <w:ilvl w:val="0"/>
          <w:numId w:val="30"/>
        </w:numPr>
        <w:spacing w:before="0" w:after="80"/>
        <w:ind w:hanging="357"/>
        <w:rPr>
          <w:rFonts w:cs="Calibri"/>
        </w:rPr>
      </w:pPr>
      <w:r w:rsidRPr="00D578E0">
        <w:rPr>
          <w:rFonts w:cs="Calibri"/>
        </w:rPr>
        <w:t>How the ACNC</w:t>
      </w:r>
      <w:r w:rsidR="000D61BD">
        <w:rPr>
          <w:rFonts w:cs="Calibri"/>
        </w:rPr>
        <w:t xml:space="preserve"> will operate </w:t>
      </w:r>
    </w:p>
    <w:p w:rsidR="002C100D" w:rsidRPr="00D578E0" w:rsidRDefault="002C100D" w:rsidP="00D578E0">
      <w:pPr>
        <w:pStyle w:val="ListParagraph"/>
        <w:numPr>
          <w:ilvl w:val="0"/>
          <w:numId w:val="31"/>
        </w:numPr>
        <w:spacing w:before="0" w:after="80"/>
        <w:ind w:hanging="357"/>
        <w:contextualSpacing w:val="0"/>
      </w:pPr>
      <w:r w:rsidRPr="00D578E0">
        <w:t>Independence – culture and practice</w:t>
      </w:r>
    </w:p>
    <w:p w:rsidR="002C100D" w:rsidRPr="00D578E0" w:rsidRDefault="002C100D" w:rsidP="00D578E0">
      <w:pPr>
        <w:pStyle w:val="ListParagraph"/>
        <w:numPr>
          <w:ilvl w:val="0"/>
          <w:numId w:val="31"/>
        </w:numPr>
        <w:spacing w:before="0" w:after="80"/>
        <w:ind w:hanging="357"/>
        <w:contextualSpacing w:val="0"/>
      </w:pPr>
      <w:r w:rsidRPr="00D578E0">
        <w:t>ACNC Advisory Board (mostly sector knowledge)</w:t>
      </w:r>
    </w:p>
    <w:p w:rsidR="002C100D" w:rsidRPr="00D578E0" w:rsidRDefault="002C100D" w:rsidP="00D578E0">
      <w:pPr>
        <w:pStyle w:val="ListParagraph"/>
        <w:numPr>
          <w:ilvl w:val="0"/>
          <w:numId w:val="31"/>
        </w:numPr>
        <w:spacing w:before="0" w:after="80"/>
        <w:ind w:hanging="357"/>
        <w:contextualSpacing w:val="0"/>
      </w:pPr>
      <w:r w:rsidRPr="00D578E0">
        <w:t xml:space="preserve">Use of reports and data / confidentiality / research opportunities </w:t>
      </w:r>
    </w:p>
    <w:p w:rsidR="002C100D" w:rsidRPr="00D578E0" w:rsidRDefault="002C100D" w:rsidP="00D578E0">
      <w:pPr>
        <w:pStyle w:val="ListParagraph"/>
        <w:numPr>
          <w:ilvl w:val="0"/>
          <w:numId w:val="31"/>
        </w:numPr>
        <w:spacing w:before="0" w:after="80"/>
        <w:ind w:hanging="357"/>
        <w:contextualSpacing w:val="0"/>
      </w:pPr>
      <w:r w:rsidRPr="00D578E0">
        <w:t>Proportionality and flexibility – size and requirements</w:t>
      </w:r>
    </w:p>
    <w:p w:rsidR="002C100D" w:rsidRPr="00D578E0" w:rsidRDefault="002C100D" w:rsidP="00D578E0">
      <w:pPr>
        <w:pStyle w:val="ListParagraph"/>
        <w:numPr>
          <w:ilvl w:val="0"/>
          <w:numId w:val="31"/>
        </w:numPr>
        <w:spacing w:before="0" w:after="80"/>
        <w:ind w:hanging="357"/>
        <w:contextualSpacing w:val="0"/>
      </w:pPr>
      <w:r w:rsidRPr="00D578E0">
        <w:t>Enforcement – stepped approach</w:t>
      </w:r>
    </w:p>
    <w:p w:rsidR="002C100D" w:rsidRPr="00D578E0" w:rsidRDefault="002C100D" w:rsidP="00D578E0">
      <w:pPr>
        <w:pStyle w:val="ListParagraph"/>
        <w:numPr>
          <w:ilvl w:val="0"/>
          <w:numId w:val="31"/>
        </w:numPr>
        <w:spacing w:before="0" w:after="80"/>
        <w:ind w:hanging="357"/>
        <w:contextualSpacing w:val="0"/>
      </w:pPr>
      <w:r w:rsidRPr="00D578E0">
        <w:t>Education – to maximize compliance</w:t>
      </w:r>
    </w:p>
    <w:p w:rsidR="002C100D" w:rsidRPr="00D578E0" w:rsidRDefault="002C100D" w:rsidP="00D578E0">
      <w:pPr>
        <w:pStyle w:val="ListParagraph"/>
        <w:numPr>
          <w:ilvl w:val="0"/>
          <w:numId w:val="31"/>
        </w:numPr>
        <w:spacing w:before="0" w:after="80"/>
        <w:ind w:hanging="357"/>
        <w:contextualSpacing w:val="0"/>
      </w:pPr>
      <w:r w:rsidRPr="00D578E0">
        <w:t>ACNC Register and Online Portal – accessibility etc.</w:t>
      </w:r>
    </w:p>
    <w:p w:rsidR="002C100D" w:rsidRPr="00D578E0" w:rsidRDefault="002C100D" w:rsidP="00D578E0">
      <w:pPr>
        <w:pStyle w:val="ListParagraph"/>
        <w:numPr>
          <w:ilvl w:val="0"/>
          <w:numId w:val="31"/>
        </w:numPr>
        <w:spacing w:before="0" w:after="80"/>
        <w:ind w:hanging="357"/>
        <w:contextualSpacing w:val="0"/>
      </w:pPr>
      <w:r w:rsidRPr="00D578E0">
        <w:t>Reporting processes</w:t>
      </w:r>
    </w:p>
    <w:p w:rsidR="002C100D" w:rsidRPr="00D578E0" w:rsidRDefault="002C100D" w:rsidP="00D578E0">
      <w:pPr>
        <w:pStyle w:val="ListParagraph"/>
        <w:numPr>
          <w:ilvl w:val="0"/>
          <w:numId w:val="31"/>
        </w:numPr>
        <w:spacing w:before="0" w:after="80"/>
        <w:ind w:hanging="357"/>
        <w:contextualSpacing w:val="0"/>
      </w:pPr>
      <w:r w:rsidRPr="00D578E0">
        <w:t>Registration and transition</w:t>
      </w:r>
    </w:p>
    <w:p w:rsidR="002C100D" w:rsidRPr="00D578E0" w:rsidRDefault="002C100D" w:rsidP="006E11AD">
      <w:pPr>
        <w:pStyle w:val="ListParagraph"/>
        <w:numPr>
          <w:ilvl w:val="0"/>
          <w:numId w:val="31"/>
        </w:numPr>
        <w:spacing w:before="0" w:after="80"/>
        <w:ind w:hanging="357"/>
        <w:contextualSpacing w:val="0"/>
      </w:pPr>
      <w:r w:rsidRPr="00D578E0">
        <w:t>Procedural fairness</w:t>
      </w:r>
    </w:p>
    <w:p w:rsidR="001140EF" w:rsidRPr="00D578E0" w:rsidRDefault="001140EF" w:rsidP="006E11AD">
      <w:pPr>
        <w:pStyle w:val="ListParagraph"/>
        <w:numPr>
          <w:ilvl w:val="0"/>
          <w:numId w:val="30"/>
        </w:numPr>
        <w:spacing w:before="0" w:after="80"/>
        <w:ind w:hanging="357"/>
        <w:contextualSpacing w:val="0"/>
        <w:rPr>
          <w:rFonts w:cs="Calibri"/>
        </w:rPr>
      </w:pPr>
      <w:r w:rsidRPr="00D578E0">
        <w:rPr>
          <w:rFonts w:cs="Calibri"/>
        </w:rPr>
        <w:t>What the ACNC will regulate</w:t>
      </w:r>
    </w:p>
    <w:p w:rsidR="002C100D" w:rsidRPr="00D578E0" w:rsidRDefault="002C100D" w:rsidP="006E11AD">
      <w:pPr>
        <w:pStyle w:val="ListParagraph"/>
        <w:numPr>
          <w:ilvl w:val="0"/>
          <w:numId w:val="31"/>
        </w:numPr>
        <w:spacing w:before="0" w:after="80"/>
        <w:ind w:hanging="357"/>
        <w:contextualSpacing w:val="0"/>
      </w:pPr>
      <w:r w:rsidRPr="00D578E0">
        <w:t>Charitable status – purpose and activities</w:t>
      </w:r>
    </w:p>
    <w:p w:rsidR="002C100D" w:rsidRPr="00D578E0" w:rsidRDefault="00D578E0" w:rsidP="006E11AD">
      <w:pPr>
        <w:pStyle w:val="ListParagraph"/>
        <w:numPr>
          <w:ilvl w:val="0"/>
          <w:numId w:val="31"/>
        </w:numPr>
        <w:spacing w:before="0" w:after="80"/>
        <w:ind w:hanging="357"/>
        <w:contextualSpacing w:val="0"/>
      </w:pPr>
      <w:r w:rsidRPr="00D578E0">
        <w:t>Governance</w:t>
      </w:r>
    </w:p>
    <w:p w:rsidR="00D578E0" w:rsidRPr="00D578E0" w:rsidRDefault="00D578E0" w:rsidP="006E11AD">
      <w:pPr>
        <w:pStyle w:val="ListParagraph"/>
        <w:numPr>
          <w:ilvl w:val="0"/>
          <w:numId w:val="31"/>
        </w:numPr>
        <w:spacing w:before="0" w:after="80"/>
        <w:ind w:hanging="357"/>
        <w:contextualSpacing w:val="0"/>
      </w:pPr>
      <w:r w:rsidRPr="00D578E0">
        <w:t xml:space="preserve">Responsible person </w:t>
      </w:r>
    </w:p>
    <w:p w:rsidR="00D578E0" w:rsidRPr="00D578E0" w:rsidRDefault="00D578E0" w:rsidP="006E11AD">
      <w:pPr>
        <w:pStyle w:val="ListParagraph"/>
        <w:numPr>
          <w:ilvl w:val="0"/>
          <w:numId w:val="31"/>
        </w:numPr>
        <w:spacing w:before="0" w:after="80"/>
        <w:ind w:hanging="357"/>
        <w:contextualSpacing w:val="0"/>
      </w:pPr>
      <w:r w:rsidRPr="00D578E0">
        <w:t>Scope of regulatory powers</w:t>
      </w:r>
    </w:p>
    <w:p w:rsidR="00D578E0" w:rsidRPr="00D578E0" w:rsidRDefault="00D578E0" w:rsidP="006E11AD">
      <w:pPr>
        <w:pStyle w:val="ListParagraph"/>
        <w:numPr>
          <w:ilvl w:val="0"/>
          <w:numId w:val="31"/>
        </w:numPr>
        <w:spacing w:before="0" w:after="80"/>
        <w:ind w:hanging="357"/>
        <w:contextualSpacing w:val="0"/>
      </w:pPr>
      <w:r w:rsidRPr="00D578E0">
        <w:t>Risk management and insurance</w:t>
      </w:r>
    </w:p>
    <w:p w:rsidR="00D578E0" w:rsidRPr="00D578E0" w:rsidRDefault="00D578E0" w:rsidP="006E11AD">
      <w:pPr>
        <w:pStyle w:val="ListParagraph"/>
        <w:numPr>
          <w:ilvl w:val="0"/>
          <w:numId w:val="31"/>
        </w:numPr>
        <w:spacing w:before="0" w:after="80"/>
        <w:ind w:hanging="357"/>
        <w:contextualSpacing w:val="0"/>
      </w:pPr>
      <w:r w:rsidRPr="00D578E0">
        <w:t>Financial transparency</w:t>
      </w:r>
    </w:p>
    <w:p w:rsidR="002C100D" w:rsidRPr="00D578E0" w:rsidRDefault="002C100D" w:rsidP="006E11AD">
      <w:pPr>
        <w:pStyle w:val="ListParagraph"/>
        <w:numPr>
          <w:ilvl w:val="0"/>
          <w:numId w:val="31"/>
        </w:numPr>
        <w:spacing w:before="0" w:after="80"/>
        <w:ind w:hanging="357"/>
        <w:contextualSpacing w:val="0"/>
      </w:pPr>
      <w:r w:rsidRPr="00D578E0">
        <w:t>Duplication of reporting</w:t>
      </w:r>
    </w:p>
    <w:p w:rsidR="008A59B9" w:rsidRPr="00D578E0" w:rsidRDefault="008A59B9" w:rsidP="00D578E0">
      <w:pPr>
        <w:pStyle w:val="ListParagraph"/>
        <w:numPr>
          <w:ilvl w:val="0"/>
          <w:numId w:val="30"/>
        </w:numPr>
        <w:spacing w:before="0" w:after="80"/>
        <w:ind w:hanging="357"/>
        <w:rPr>
          <w:rFonts w:cs="Calibri"/>
        </w:rPr>
      </w:pPr>
      <w:r w:rsidRPr="00D578E0">
        <w:rPr>
          <w:rFonts w:cs="Calibri"/>
        </w:rPr>
        <w:t>Conclusion</w:t>
      </w:r>
    </w:p>
    <w:p w:rsidR="008A59B9" w:rsidRPr="00D578E0" w:rsidRDefault="008A59B9" w:rsidP="008A59B9">
      <w:pPr>
        <w:spacing w:before="240"/>
        <w:rPr>
          <w:rFonts w:cs="Calibri"/>
        </w:rPr>
      </w:pPr>
      <w:r w:rsidRPr="00D578E0">
        <w:rPr>
          <w:rFonts w:cs="Calibri"/>
        </w:rPr>
        <w:t xml:space="preserve">The CCA welcomes this opportunity to comment on the </w:t>
      </w:r>
      <w:r w:rsidR="009D340E" w:rsidRPr="00D578E0">
        <w:rPr>
          <w:rFonts w:cs="Calibri"/>
        </w:rPr>
        <w:t>establishment of the ACNC and the exposure draft legislation.</w:t>
      </w:r>
      <w:r w:rsidRPr="00D578E0">
        <w:rPr>
          <w:rFonts w:cs="Calibri"/>
        </w:rPr>
        <w:t xml:space="preserve"> CCA is willing to engage in further discussion about any of the issues raised in this submission. </w:t>
      </w:r>
    </w:p>
    <w:p w:rsidR="008A59B9" w:rsidRPr="00D578E0" w:rsidRDefault="008A59B9" w:rsidP="008A59B9">
      <w:pPr>
        <w:spacing w:after="200"/>
        <w:rPr>
          <w:rFonts w:cs="Calibri"/>
        </w:rPr>
      </w:pPr>
      <w:r w:rsidRPr="00D578E0">
        <w:rPr>
          <w:rFonts w:asciiTheme="majorHAnsi" w:hAnsiTheme="majorHAnsi"/>
          <w:b/>
          <w:sz w:val="28"/>
        </w:rPr>
        <w:lastRenderedPageBreak/>
        <w:t>The Community Council for Australia</w:t>
      </w:r>
    </w:p>
    <w:p w:rsidR="008A59B9" w:rsidRPr="00D578E0" w:rsidRDefault="008A59B9" w:rsidP="008A59B9">
      <w:pPr>
        <w:spacing w:after="180"/>
        <w:rPr>
          <w:rFonts w:cs="Calibri"/>
        </w:rPr>
      </w:pPr>
      <w:r w:rsidRPr="00D578E0">
        <w:rPr>
          <w:rFonts w:cs="Calibri"/>
        </w:rPr>
        <w:t>The Community Council for Australia is an independent, non-political member-based organisation dedicated to building thriving communities by enhancing the extraordinary work and effort undertaken within the not-</w:t>
      </w:r>
      <w:r w:rsidR="001B35F3">
        <w:rPr>
          <w:rFonts w:cs="Calibri"/>
        </w:rPr>
        <w:t>for-profit</w:t>
      </w:r>
      <w:r w:rsidRPr="00D578E0">
        <w:rPr>
          <w:rFonts w:cs="Calibri"/>
        </w:rPr>
        <w:t xml:space="preserve"> sector in Australia.  CCA seeks to change the way governments, communities and the not-for-profit sector relate to one another.  This includes establishing a regulatory environment that works for community organisations and not against them.</w:t>
      </w:r>
    </w:p>
    <w:p w:rsidR="00377482" w:rsidRDefault="008A59B9" w:rsidP="00377482">
      <w:pPr>
        <w:spacing w:after="180"/>
        <w:rPr>
          <w:rFonts w:cs="Calibri"/>
        </w:rPr>
      </w:pPr>
      <w:r w:rsidRPr="00D578E0">
        <w:rPr>
          <w:rFonts w:cs="Calibri"/>
        </w:rPr>
        <w:t>The mission of CCA is to lead by being an effective voice on common and shared issues affecting the contribution, performance and viability of not-for-profit organisations in Australia through:</w:t>
      </w:r>
    </w:p>
    <w:p w:rsidR="008A59B9" w:rsidRPr="00377482" w:rsidRDefault="008A59B9" w:rsidP="00377482">
      <w:pPr>
        <w:pStyle w:val="ListParagraph"/>
        <w:numPr>
          <w:ilvl w:val="0"/>
          <w:numId w:val="30"/>
        </w:numPr>
        <w:spacing w:after="180"/>
        <w:rPr>
          <w:rFonts w:cs="Calibri"/>
        </w:rPr>
      </w:pPr>
      <w:r w:rsidRPr="00377482">
        <w:rPr>
          <w:rFonts w:cs="Calibri"/>
        </w:rPr>
        <w:t>providing thought and action leadership</w:t>
      </w:r>
    </w:p>
    <w:p w:rsidR="008A59B9" w:rsidRPr="00D578E0" w:rsidRDefault="008A59B9" w:rsidP="00377482">
      <w:pPr>
        <w:pStyle w:val="ListParagraph"/>
        <w:numPr>
          <w:ilvl w:val="0"/>
          <w:numId w:val="29"/>
        </w:numPr>
        <w:spacing w:before="0"/>
        <w:ind w:left="714" w:hanging="357"/>
        <w:contextualSpacing w:val="0"/>
        <w:rPr>
          <w:rFonts w:cs="Calibri"/>
        </w:rPr>
      </w:pPr>
      <w:r w:rsidRPr="00D578E0">
        <w:rPr>
          <w:rFonts w:cs="Calibri"/>
        </w:rPr>
        <w:t>influencing and shaping sector policy agendas</w:t>
      </w:r>
    </w:p>
    <w:p w:rsidR="008A59B9" w:rsidRPr="00D578E0" w:rsidRDefault="008A59B9" w:rsidP="00377482">
      <w:pPr>
        <w:pStyle w:val="ListParagraph"/>
        <w:numPr>
          <w:ilvl w:val="0"/>
          <w:numId w:val="29"/>
        </w:numPr>
        <w:spacing w:before="0"/>
        <w:ind w:left="714" w:hanging="357"/>
        <w:contextualSpacing w:val="0"/>
        <w:rPr>
          <w:rFonts w:cs="Calibri"/>
        </w:rPr>
      </w:pPr>
      <w:r w:rsidRPr="00D578E0">
        <w:rPr>
          <w:rFonts w:cs="Calibri"/>
        </w:rPr>
        <w:t>informing, educating, and assisting organisations in the sector to deal with change and build sustainable futures</w:t>
      </w:r>
    </w:p>
    <w:p w:rsidR="008A59B9" w:rsidRPr="00D578E0" w:rsidRDefault="008A59B9" w:rsidP="00377482">
      <w:pPr>
        <w:pStyle w:val="ListParagraph"/>
        <w:numPr>
          <w:ilvl w:val="0"/>
          <w:numId w:val="29"/>
        </w:numPr>
        <w:spacing w:before="0"/>
        <w:ind w:left="714" w:hanging="357"/>
        <w:contextualSpacing w:val="0"/>
        <w:rPr>
          <w:rFonts w:cs="Calibri"/>
        </w:rPr>
      </w:pPr>
      <w:proofErr w:type="gramStart"/>
      <w:r w:rsidRPr="00D578E0">
        <w:rPr>
          <w:rFonts w:cs="Calibri"/>
        </w:rPr>
        <w:t>working</w:t>
      </w:r>
      <w:proofErr w:type="gramEnd"/>
      <w:r w:rsidRPr="00D578E0">
        <w:rPr>
          <w:rFonts w:cs="Calibri"/>
        </w:rPr>
        <w:t xml:space="preserve"> in partnership with the government, the business sector, and the broader Australian community.</w:t>
      </w:r>
    </w:p>
    <w:p w:rsidR="00D578E0" w:rsidRDefault="00D578E0" w:rsidP="008A59B9">
      <w:pPr>
        <w:rPr>
          <w:rFonts w:asciiTheme="majorHAnsi" w:hAnsiTheme="majorHAnsi" w:cs="Calibri"/>
          <w:b/>
          <w:color w:val="000000"/>
          <w:sz w:val="28"/>
        </w:rPr>
      </w:pPr>
    </w:p>
    <w:p w:rsidR="008A59B9" w:rsidRPr="00D578E0" w:rsidRDefault="008A59B9" w:rsidP="008A59B9">
      <w:pPr>
        <w:rPr>
          <w:rFonts w:asciiTheme="majorHAnsi" w:hAnsiTheme="majorHAnsi" w:cs="Calibri"/>
          <w:b/>
          <w:color w:val="000000"/>
          <w:sz w:val="28"/>
        </w:rPr>
      </w:pPr>
      <w:bookmarkStart w:id="0" w:name="_GoBack"/>
      <w:r w:rsidRPr="00D578E0">
        <w:rPr>
          <w:rFonts w:asciiTheme="majorHAnsi" w:hAnsiTheme="majorHAnsi" w:cs="Calibri"/>
          <w:b/>
          <w:color w:val="000000"/>
          <w:sz w:val="28"/>
        </w:rPr>
        <w:t>Executive Summary and Recommendations</w:t>
      </w:r>
    </w:p>
    <w:p w:rsidR="008A59B9" w:rsidRDefault="00D578E0" w:rsidP="008A59B9">
      <w:pPr>
        <w:rPr>
          <w:rFonts w:cstheme="minorHAnsi"/>
          <w:color w:val="000000"/>
        </w:rPr>
      </w:pPr>
      <w:r w:rsidRPr="00D578E0">
        <w:rPr>
          <w:rFonts w:cstheme="minorHAnsi"/>
          <w:color w:val="000000"/>
        </w:rPr>
        <w:t xml:space="preserve">CCA has taken the view that the best way to approach the Exposure Draft Legislation </w:t>
      </w:r>
      <w:r>
        <w:rPr>
          <w:rFonts w:cstheme="minorHAnsi"/>
          <w:color w:val="000000"/>
        </w:rPr>
        <w:t xml:space="preserve">to establish the Australian Charities and Not-for-profit Commission (ACNC) </w:t>
      </w:r>
      <w:r w:rsidRPr="00D578E0">
        <w:rPr>
          <w:rFonts w:cstheme="minorHAnsi"/>
          <w:color w:val="000000"/>
        </w:rPr>
        <w:t>and the Consultation Paper on governance of not-for-profit organisations is to reinforce the fund</w:t>
      </w:r>
      <w:r>
        <w:rPr>
          <w:rFonts w:cstheme="minorHAnsi"/>
          <w:color w:val="000000"/>
        </w:rPr>
        <w:t>amental role of the ACNC including how the not-for-profit sector would like to see it operate and the areas where the ACNC</w:t>
      </w:r>
      <w:r w:rsidRPr="00D578E0">
        <w:rPr>
          <w:rFonts w:cstheme="minorHAnsi"/>
          <w:color w:val="000000"/>
        </w:rPr>
        <w:t xml:space="preserve"> needs to take a lead role.</w:t>
      </w:r>
      <w:r w:rsidR="00377482">
        <w:rPr>
          <w:rFonts w:cstheme="minorHAnsi"/>
          <w:color w:val="000000"/>
        </w:rPr>
        <w:t xml:space="preserve">  The final framing of the establishment legislation must enable the operational guidelines and principles outlined in this submission to be fully realised.</w:t>
      </w:r>
      <w:r w:rsidRPr="00D578E0">
        <w:rPr>
          <w:rFonts w:cstheme="minorHAnsi"/>
          <w:color w:val="000000"/>
        </w:rPr>
        <w:t xml:space="preserve"> </w:t>
      </w:r>
    </w:p>
    <w:p w:rsidR="00D578E0" w:rsidRDefault="00D578E0" w:rsidP="008A59B9">
      <w:pPr>
        <w:rPr>
          <w:rFonts w:cstheme="minorHAnsi"/>
          <w:color w:val="000000"/>
        </w:rPr>
      </w:pPr>
      <w:r>
        <w:rPr>
          <w:rFonts w:cstheme="minorHAnsi"/>
          <w:color w:val="000000"/>
        </w:rPr>
        <w:t xml:space="preserve">It is important to note at the outset that </w:t>
      </w:r>
      <w:r w:rsidR="0015297E">
        <w:rPr>
          <w:rFonts w:cstheme="minorHAnsi"/>
          <w:color w:val="000000"/>
        </w:rPr>
        <w:t>the not-for-profit sector is a highly credible, transpa</w:t>
      </w:r>
      <w:r w:rsidR="00377482">
        <w:rPr>
          <w:rFonts w:cstheme="minorHAnsi"/>
          <w:color w:val="000000"/>
        </w:rPr>
        <w:t>rent and accountable sector.  In</w:t>
      </w:r>
      <w:r w:rsidR="0015297E">
        <w:rPr>
          <w:rFonts w:cstheme="minorHAnsi"/>
          <w:color w:val="000000"/>
        </w:rPr>
        <w:t xml:space="preserve"> fact it is arguable that the sector is much more accountable to the community than any other</w:t>
      </w:r>
      <w:r w:rsidR="00377482">
        <w:rPr>
          <w:rFonts w:cstheme="minorHAnsi"/>
          <w:color w:val="000000"/>
        </w:rPr>
        <w:t>,</w:t>
      </w:r>
      <w:r w:rsidR="0015297E">
        <w:rPr>
          <w:rFonts w:cstheme="minorHAnsi"/>
          <w:color w:val="000000"/>
        </w:rPr>
        <w:t xml:space="preserve"> which is why it enjoys such a positive standing within </w:t>
      </w:r>
      <w:r w:rsidR="00377482">
        <w:rPr>
          <w:rFonts w:cstheme="minorHAnsi"/>
          <w:color w:val="000000"/>
        </w:rPr>
        <w:t xml:space="preserve">the </w:t>
      </w:r>
      <w:r w:rsidR="0015297E">
        <w:rPr>
          <w:rFonts w:cstheme="minorHAnsi"/>
          <w:color w:val="000000"/>
        </w:rPr>
        <w:t>Australia</w:t>
      </w:r>
      <w:r w:rsidR="00377482">
        <w:rPr>
          <w:rFonts w:cstheme="minorHAnsi"/>
          <w:color w:val="000000"/>
        </w:rPr>
        <w:t>n community</w:t>
      </w:r>
      <w:r w:rsidR="0015297E">
        <w:rPr>
          <w:rFonts w:cstheme="minorHAnsi"/>
          <w:color w:val="000000"/>
        </w:rPr>
        <w:t>.</w:t>
      </w:r>
    </w:p>
    <w:p w:rsidR="0015297E" w:rsidRDefault="0015297E" w:rsidP="008A59B9">
      <w:pPr>
        <w:rPr>
          <w:rFonts w:cstheme="minorHAnsi"/>
          <w:color w:val="000000"/>
        </w:rPr>
      </w:pPr>
      <w:r>
        <w:rPr>
          <w:rFonts w:cstheme="minorHAnsi"/>
          <w:color w:val="000000"/>
        </w:rPr>
        <w:t xml:space="preserve">The assumption that imposing more onerous reporting requirements on not-for-profit organisations makes it more accountable or transparent, or even more effective, is difficult to justify.  The best form of accountability is community engagement.  In most not-for-profit organisations across Australia, </w:t>
      </w:r>
      <w:r w:rsidR="000D61BD">
        <w:rPr>
          <w:rFonts w:cstheme="minorHAnsi"/>
          <w:color w:val="000000"/>
        </w:rPr>
        <w:t>members</w:t>
      </w:r>
      <w:r>
        <w:rPr>
          <w:rFonts w:cstheme="minorHAnsi"/>
          <w:color w:val="000000"/>
        </w:rPr>
        <w:t xml:space="preserve"> of the community the organisation serves have direct input into how the organisation operates and responds to community needs. </w:t>
      </w:r>
    </w:p>
    <w:p w:rsidR="0015297E" w:rsidRDefault="0015297E" w:rsidP="008A59B9">
      <w:pPr>
        <w:rPr>
          <w:rFonts w:cstheme="minorHAnsi"/>
          <w:color w:val="000000"/>
        </w:rPr>
      </w:pPr>
      <w:r>
        <w:rPr>
          <w:rFonts w:cstheme="minorHAnsi"/>
          <w:color w:val="000000"/>
        </w:rPr>
        <w:t>It is also important to note that most not-for-profit organisations are more transparent and accountable than their for-profit comparators.</w:t>
      </w:r>
    </w:p>
    <w:p w:rsidR="0015297E" w:rsidRDefault="0015297E" w:rsidP="008A59B9">
      <w:pPr>
        <w:rPr>
          <w:rFonts w:cstheme="minorHAnsi"/>
          <w:color w:val="000000"/>
        </w:rPr>
      </w:pPr>
      <w:r>
        <w:rPr>
          <w:rFonts w:cstheme="minorHAnsi"/>
          <w:color w:val="000000"/>
        </w:rPr>
        <w:t>The goal of the ACNC should not be primarily about accountability, but enhancement of the invaluable role played by not-for-profit organisations in Australian communities.  If we can strengthen our not-for-profit organisations through reduced duplication</w:t>
      </w:r>
      <w:r w:rsidR="00880B27">
        <w:rPr>
          <w:rFonts w:cstheme="minorHAnsi"/>
          <w:color w:val="000000"/>
        </w:rPr>
        <w:t>, compliance costs</w:t>
      </w:r>
      <w:r>
        <w:rPr>
          <w:rFonts w:cstheme="minorHAnsi"/>
          <w:color w:val="000000"/>
        </w:rPr>
        <w:t xml:space="preserve"> and red tape, not-for-prof</w:t>
      </w:r>
      <w:r w:rsidR="006E11AD">
        <w:rPr>
          <w:rFonts w:cstheme="minorHAnsi"/>
          <w:color w:val="000000"/>
        </w:rPr>
        <w:t xml:space="preserve">it organisations will be </w:t>
      </w:r>
      <w:r>
        <w:rPr>
          <w:rFonts w:cstheme="minorHAnsi"/>
          <w:color w:val="000000"/>
        </w:rPr>
        <w:t xml:space="preserve">able to focus </w:t>
      </w:r>
      <w:r w:rsidR="006E11AD">
        <w:rPr>
          <w:rFonts w:cstheme="minorHAnsi"/>
          <w:color w:val="000000"/>
        </w:rPr>
        <w:t xml:space="preserve">more </w:t>
      </w:r>
      <w:r>
        <w:rPr>
          <w:rFonts w:cstheme="minorHAnsi"/>
          <w:color w:val="000000"/>
        </w:rPr>
        <w:t xml:space="preserve">on doing what they are established to do, serve their community.  </w:t>
      </w:r>
    </w:p>
    <w:p w:rsidR="00880B27" w:rsidRDefault="0015297E">
      <w:pPr>
        <w:rPr>
          <w:b/>
          <w:u w:val="single"/>
        </w:rPr>
      </w:pPr>
      <w:r>
        <w:rPr>
          <w:rFonts w:cstheme="minorHAnsi"/>
          <w:color w:val="000000"/>
        </w:rPr>
        <w:t xml:space="preserve">Within this </w:t>
      </w:r>
      <w:r w:rsidR="000D61BD">
        <w:rPr>
          <w:rFonts w:cstheme="minorHAnsi"/>
          <w:color w:val="000000"/>
        </w:rPr>
        <w:t>broader context, CCA has made 41</w:t>
      </w:r>
      <w:r>
        <w:rPr>
          <w:rFonts w:cstheme="minorHAnsi"/>
          <w:color w:val="000000"/>
        </w:rPr>
        <w:t xml:space="preserve"> recommendations.</w:t>
      </w:r>
      <w:r w:rsidR="00880B27">
        <w:rPr>
          <w:b/>
          <w:u w:val="single"/>
        </w:rPr>
        <w:br w:type="page"/>
      </w:r>
    </w:p>
    <w:p w:rsidR="009D340E" w:rsidRPr="00880B27" w:rsidRDefault="00880B27" w:rsidP="006D01F1">
      <w:pPr>
        <w:spacing w:after="240"/>
        <w:rPr>
          <w:rFonts w:asciiTheme="majorHAnsi" w:hAnsiTheme="majorHAnsi"/>
          <w:b/>
          <w:sz w:val="28"/>
          <w:szCs w:val="28"/>
        </w:rPr>
      </w:pPr>
      <w:r w:rsidRPr="00880B27">
        <w:rPr>
          <w:rFonts w:asciiTheme="majorHAnsi" w:hAnsiTheme="majorHAnsi"/>
          <w:b/>
          <w:sz w:val="28"/>
          <w:szCs w:val="28"/>
        </w:rPr>
        <w:lastRenderedPageBreak/>
        <w:t>Recommendations</w:t>
      </w:r>
    </w:p>
    <w:p w:rsidR="00880B27" w:rsidRDefault="00880B27" w:rsidP="006D01F1">
      <w:pPr>
        <w:pStyle w:val="ListParagraph"/>
        <w:numPr>
          <w:ilvl w:val="0"/>
          <w:numId w:val="11"/>
        </w:numPr>
        <w:spacing w:before="0" w:after="180"/>
        <w:ind w:left="714" w:hanging="357"/>
        <w:contextualSpacing w:val="0"/>
      </w:pPr>
      <w:r>
        <w:t>The independence of the ACNC must be enshrined in legislation</w:t>
      </w:r>
      <w:r w:rsidR="000D61BD">
        <w:t>.  This includes</w:t>
      </w:r>
      <w:r>
        <w:t xml:space="preserve"> a capacity to recruit staff and develop its own operations and procedures to ensure the </w:t>
      </w:r>
      <w:r w:rsidR="000D61BD">
        <w:t>ACNC</w:t>
      </w:r>
      <w:r>
        <w:t xml:space="preserve"> reflects an </w:t>
      </w:r>
      <w:r w:rsidR="000D61BD">
        <w:t xml:space="preserve">understanding of the sector and a </w:t>
      </w:r>
      <w:r>
        <w:t>commitment to the invaluable role of not-for-profit organisations in Australia</w:t>
      </w:r>
      <w:r w:rsidR="000D61BD">
        <w:t>.</w:t>
      </w:r>
    </w:p>
    <w:p w:rsidR="000D61BD" w:rsidRDefault="000D61BD" w:rsidP="006D01F1">
      <w:pPr>
        <w:pStyle w:val="ListParagraph"/>
        <w:numPr>
          <w:ilvl w:val="0"/>
          <w:numId w:val="11"/>
        </w:numPr>
        <w:spacing w:before="0" w:after="180"/>
        <w:ind w:left="714" w:hanging="357"/>
        <w:contextualSpacing w:val="0"/>
      </w:pPr>
      <w:r>
        <w:t>The ACNC should report to the Australian Federal Parliament on an annual basis.</w:t>
      </w:r>
    </w:p>
    <w:p w:rsidR="00880B27" w:rsidRDefault="00880B27" w:rsidP="006D01F1">
      <w:pPr>
        <w:pStyle w:val="ListParagraph"/>
        <w:numPr>
          <w:ilvl w:val="0"/>
          <w:numId w:val="11"/>
        </w:numPr>
        <w:spacing w:before="0" w:after="180"/>
        <w:ind w:left="714" w:hanging="357"/>
        <w:contextualSpacing w:val="0"/>
      </w:pPr>
      <w:r>
        <w:t>The scope of the ACNC should be restricted to those organisations receiving or seeking tax concessions.  Other (smaller) NFPs may be given the option to register with the ACNC, but registration should not be compulsory</w:t>
      </w:r>
      <w:r w:rsidR="000D61BD">
        <w:t>.</w:t>
      </w:r>
      <w:r>
        <w:t xml:space="preserve"> </w:t>
      </w:r>
    </w:p>
    <w:p w:rsidR="00880B27" w:rsidRDefault="00880B27" w:rsidP="006D01F1">
      <w:pPr>
        <w:pStyle w:val="ListParagraph"/>
        <w:numPr>
          <w:ilvl w:val="0"/>
          <w:numId w:val="11"/>
        </w:numPr>
        <w:spacing w:before="0" w:after="180"/>
        <w:ind w:left="714" w:hanging="357"/>
        <w:contextualSpacing w:val="0"/>
      </w:pPr>
      <w:r>
        <w:t>The establishing legislation should make reference to the National Compact and provide a set of guiding principles that reflect the need to enhance the role of not-for-pr</w:t>
      </w:r>
      <w:r w:rsidR="002B0229">
        <w:t>ofit organisations in Australia</w:t>
      </w:r>
      <w:r w:rsidR="000D61BD">
        <w:t>.</w:t>
      </w:r>
    </w:p>
    <w:p w:rsidR="00880B27" w:rsidRDefault="00880B27" w:rsidP="006D01F1">
      <w:pPr>
        <w:pStyle w:val="ListParagraph"/>
        <w:numPr>
          <w:ilvl w:val="0"/>
          <w:numId w:val="11"/>
        </w:numPr>
        <w:spacing w:before="0" w:after="180"/>
        <w:ind w:left="714" w:hanging="357"/>
        <w:contextualSpacing w:val="0"/>
      </w:pPr>
      <w:r>
        <w:t>The ACNC should adopt a ‘light touch’ reporting framework that draws upon information already collected by or readily available to NFPs</w:t>
      </w:r>
      <w:r w:rsidR="000D61BD">
        <w:t>.</w:t>
      </w:r>
    </w:p>
    <w:p w:rsidR="00880B27" w:rsidRPr="00FC467E" w:rsidRDefault="00880B27" w:rsidP="006D01F1">
      <w:pPr>
        <w:pStyle w:val="ListParagraph"/>
        <w:numPr>
          <w:ilvl w:val="0"/>
          <w:numId w:val="11"/>
        </w:numPr>
        <w:spacing w:before="0" w:after="180"/>
        <w:ind w:left="714" w:hanging="357"/>
        <w:contextualSpacing w:val="0"/>
      </w:pPr>
      <w:r w:rsidRPr="00FC467E">
        <w:t xml:space="preserve">The </w:t>
      </w:r>
      <w:r>
        <w:t xml:space="preserve">ACNC Advisory </w:t>
      </w:r>
      <w:r w:rsidRPr="00FC467E">
        <w:t xml:space="preserve">Board should be given powers to </w:t>
      </w:r>
      <w:proofErr w:type="gramStart"/>
      <w:r w:rsidRPr="00FC467E">
        <w:t>advise</w:t>
      </w:r>
      <w:proofErr w:type="gramEnd"/>
      <w:r w:rsidRPr="00FC467E">
        <w:t xml:space="preserve"> on any issue it considers relevant to the effective operation of the ACNC</w:t>
      </w:r>
      <w:r w:rsidR="000D61BD">
        <w:t>.</w:t>
      </w:r>
      <w:r w:rsidRPr="00FC467E">
        <w:t xml:space="preserve"> </w:t>
      </w:r>
    </w:p>
    <w:p w:rsidR="00880B27" w:rsidRPr="00FC467E" w:rsidRDefault="00880B27" w:rsidP="006D01F1">
      <w:pPr>
        <w:pStyle w:val="ListParagraph"/>
        <w:numPr>
          <w:ilvl w:val="0"/>
          <w:numId w:val="11"/>
        </w:numPr>
        <w:spacing w:before="0" w:after="180"/>
        <w:ind w:left="714" w:hanging="357"/>
        <w:contextualSpacing w:val="0"/>
      </w:pPr>
      <w:r w:rsidRPr="00FC467E">
        <w:t xml:space="preserve">The </w:t>
      </w:r>
      <w:r>
        <w:t xml:space="preserve">ACNC </w:t>
      </w:r>
      <w:r w:rsidRPr="00FC467E">
        <w:t xml:space="preserve">Commissioner should be required to take note of and respond to the </w:t>
      </w:r>
      <w:r>
        <w:t xml:space="preserve">advice that the </w:t>
      </w:r>
      <w:r w:rsidR="002B0229">
        <w:t>ACNC Advisory Board provides</w:t>
      </w:r>
      <w:r w:rsidR="000D61BD">
        <w:t>.</w:t>
      </w:r>
    </w:p>
    <w:p w:rsidR="00880B27" w:rsidRPr="00FC467E" w:rsidRDefault="00880B27" w:rsidP="006D01F1">
      <w:pPr>
        <w:pStyle w:val="ListParagraph"/>
        <w:numPr>
          <w:ilvl w:val="0"/>
          <w:numId w:val="11"/>
        </w:numPr>
        <w:spacing w:before="0" w:after="180"/>
        <w:ind w:left="714" w:hanging="357"/>
        <w:contextualSpacing w:val="0"/>
      </w:pPr>
      <w:r>
        <w:t xml:space="preserve">ACNC Advisory Board </w:t>
      </w:r>
      <w:r w:rsidRPr="00FC467E">
        <w:t>Members should only be terminated by the Minister if there are grounds for that dismissal such as</w:t>
      </w:r>
      <w:r w:rsidR="00297B22">
        <w:t>:</w:t>
      </w:r>
      <w:r w:rsidRPr="00FC467E">
        <w:t xml:space="preserve"> </w:t>
      </w:r>
      <w:r>
        <w:t xml:space="preserve">end of term of appointment, </w:t>
      </w:r>
      <w:r w:rsidRPr="00FC467E">
        <w:t>insolvency, incapacity, inadequate attendance or performance</w:t>
      </w:r>
      <w:r w:rsidR="000D61BD">
        <w:t>.</w:t>
      </w:r>
      <w:r w:rsidRPr="00FC467E">
        <w:t xml:space="preserve"> </w:t>
      </w:r>
    </w:p>
    <w:p w:rsidR="00880B27" w:rsidRPr="0091233F" w:rsidRDefault="00880B27" w:rsidP="006D01F1">
      <w:pPr>
        <w:pStyle w:val="ListParagraph"/>
        <w:numPr>
          <w:ilvl w:val="0"/>
          <w:numId w:val="11"/>
        </w:numPr>
        <w:spacing w:before="0" w:after="180"/>
        <w:ind w:left="714" w:hanging="357"/>
        <w:contextualSpacing w:val="0"/>
      </w:pPr>
      <w:r w:rsidRPr="0091233F">
        <w:t xml:space="preserve">Appropriate levels of confidentiality must be in place to ensure organisations and individuals are able to provide information </w:t>
      </w:r>
      <w:r w:rsidR="000D61BD">
        <w:t xml:space="preserve">to the ACNC </w:t>
      </w:r>
      <w:r w:rsidRPr="0091233F">
        <w:t>with minimal risk</w:t>
      </w:r>
      <w:r w:rsidR="000D61BD">
        <w:t>.</w:t>
      </w:r>
      <w:r w:rsidRPr="0091233F">
        <w:t xml:space="preserve">  </w:t>
      </w:r>
    </w:p>
    <w:p w:rsidR="00880B27" w:rsidRPr="0091233F" w:rsidRDefault="00880B27" w:rsidP="006D01F1">
      <w:pPr>
        <w:pStyle w:val="ListParagraph"/>
        <w:numPr>
          <w:ilvl w:val="0"/>
          <w:numId w:val="11"/>
        </w:numPr>
        <w:spacing w:before="0" w:after="180"/>
        <w:ind w:left="714" w:hanging="357"/>
        <w:contextualSpacing w:val="0"/>
      </w:pPr>
      <w:r w:rsidRPr="0091233F">
        <w:t>De-identified information collected by the ACNC should be readily available to legitimate researchers and others seeking to use the information to provide a better understanding of the A</w:t>
      </w:r>
      <w:r w:rsidR="002B0229">
        <w:t>ustralian not-for-profit sector</w:t>
      </w:r>
      <w:r w:rsidR="000D61BD">
        <w:t>.</w:t>
      </w:r>
      <w:r w:rsidRPr="0091233F">
        <w:t xml:space="preserve"> </w:t>
      </w:r>
    </w:p>
    <w:p w:rsidR="00880B27" w:rsidRPr="0091233F" w:rsidRDefault="00880B27" w:rsidP="006D01F1">
      <w:pPr>
        <w:pStyle w:val="ListParagraph"/>
        <w:numPr>
          <w:ilvl w:val="0"/>
          <w:numId w:val="11"/>
        </w:numPr>
        <w:spacing w:before="0" w:after="180"/>
        <w:ind w:left="714" w:hanging="357"/>
        <w:contextualSpacing w:val="0"/>
      </w:pPr>
      <w:r w:rsidRPr="0091233F">
        <w:t>Other government and regulatory agencies should be encouraged to draw on the reports and information collected by the ACNC subject to appropriate approvals from both</w:t>
      </w:r>
      <w:r w:rsidR="002B0229">
        <w:t xml:space="preserve"> the ACNC and the NFPs involved</w:t>
      </w:r>
      <w:r w:rsidR="000D61BD">
        <w:t>.</w:t>
      </w:r>
    </w:p>
    <w:p w:rsidR="00880B27" w:rsidRPr="00BE1BE6" w:rsidRDefault="00880B27" w:rsidP="006D01F1">
      <w:pPr>
        <w:pStyle w:val="ListParagraph"/>
        <w:numPr>
          <w:ilvl w:val="0"/>
          <w:numId w:val="11"/>
        </w:numPr>
        <w:spacing w:before="0" w:after="180"/>
        <w:ind w:left="714" w:hanging="357"/>
        <w:contextualSpacing w:val="0"/>
      </w:pPr>
      <w:r w:rsidRPr="00BE1BE6">
        <w:t xml:space="preserve">Threshold income of not-for-profit organisations that impact on levels of reporting should initially be set at $2 million for larger organisations, and $500,000 for smaller organisations.  </w:t>
      </w:r>
      <w:r w:rsidR="002B0229">
        <w:t>Organisations with income b</w:t>
      </w:r>
      <w:r w:rsidRPr="00BE1BE6">
        <w:t>elow $500,000 should</w:t>
      </w:r>
      <w:r w:rsidR="002B0229">
        <w:t xml:space="preserve"> require very minimal reporting</w:t>
      </w:r>
      <w:r w:rsidR="000D61BD">
        <w:t>.</w:t>
      </w:r>
    </w:p>
    <w:p w:rsidR="00880B27" w:rsidRPr="00BE1BE6" w:rsidRDefault="006E11AD" w:rsidP="006D01F1">
      <w:pPr>
        <w:pStyle w:val="ListParagraph"/>
        <w:numPr>
          <w:ilvl w:val="0"/>
          <w:numId w:val="11"/>
        </w:numPr>
        <w:spacing w:before="0" w:after="180"/>
        <w:ind w:left="714" w:hanging="357"/>
        <w:contextualSpacing w:val="0"/>
      </w:pPr>
      <w:r>
        <w:t xml:space="preserve">The </w:t>
      </w:r>
      <w:r w:rsidR="002B0229">
        <w:t xml:space="preserve">ACNC </w:t>
      </w:r>
      <w:r w:rsidR="00880B27" w:rsidRPr="00BE1BE6">
        <w:t xml:space="preserve">Commissioner </w:t>
      </w:r>
      <w:r>
        <w:t xml:space="preserve">should have the power </w:t>
      </w:r>
      <w:r w:rsidR="00880B27" w:rsidRPr="00BE1BE6">
        <w:t xml:space="preserve">to change any threshold amounts based on </w:t>
      </w:r>
      <w:r w:rsidR="000D61BD">
        <w:t xml:space="preserve">consultation, </w:t>
      </w:r>
      <w:r w:rsidR="00880B27" w:rsidRPr="00BE1BE6">
        <w:t>reviews and further development of reporting practices</w:t>
      </w:r>
      <w:r w:rsidR="000D61BD">
        <w:t>.</w:t>
      </w:r>
    </w:p>
    <w:p w:rsidR="00880B27" w:rsidRPr="00BE1BE6" w:rsidRDefault="00880B27" w:rsidP="006D01F1">
      <w:pPr>
        <w:pStyle w:val="ListParagraph"/>
        <w:numPr>
          <w:ilvl w:val="0"/>
          <w:numId w:val="11"/>
        </w:numPr>
        <w:spacing w:before="0" w:after="180"/>
        <w:ind w:left="714" w:hanging="357"/>
        <w:contextualSpacing w:val="0"/>
      </w:pPr>
      <w:r w:rsidRPr="00BE1BE6">
        <w:t>Increased consistency with reporting requirements by State and Territories should be a priority in developing the ACNC operations.  A harmonised national regulato</w:t>
      </w:r>
      <w:r w:rsidR="002B0229">
        <w:t>ry framework should be the goal</w:t>
      </w:r>
      <w:r w:rsidR="000D61BD">
        <w:t>.</w:t>
      </w:r>
    </w:p>
    <w:p w:rsidR="006D01F1" w:rsidRDefault="006D01F1" w:rsidP="000D61BD">
      <w:pPr>
        <w:ind w:left="0"/>
      </w:pPr>
    </w:p>
    <w:p w:rsidR="00880B27" w:rsidRPr="00BE1BE6" w:rsidRDefault="00880B27" w:rsidP="006D01F1">
      <w:pPr>
        <w:pStyle w:val="ListParagraph"/>
        <w:numPr>
          <w:ilvl w:val="0"/>
          <w:numId w:val="11"/>
        </w:numPr>
        <w:spacing w:before="0" w:after="180"/>
        <w:ind w:left="714" w:hanging="357"/>
        <w:contextualSpacing w:val="0"/>
      </w:pPr>
      <w:r w:rsidRPr="00BE1BE6">
        <w:t>The ACNC should also have the power to develop a more flexible framework for reporting in conjunction with the not-for-profit sector and the ACNC Advisory Board</w:t>
      </w:r>
      <w:r w:rsidR="000D61BD">
        <w:t>.</w:t>
      </w:r>
      <w:r w:rsidRPr="00BE1BE6">
        <w:t xml:space="preserve"> </w:t>
      </w:r>
    </w:p>
    <w:p w:rsidR="00880B27" w:rsidRPr="00BE1BE6" w:rsidRDefault="00880B27" w:rsidP="006D01F1">
      <w:pPr>
        <w:pStyle w:val="ListParagraph"/>
        <w:numPr>
          <w:ilvl w:val="0"/>
          <w:numId w:val="11"/>
        </w:numPr>
        <w:spacing w:before="0" w:after="180"/>
        <w:ind w:left="714" w:hanging="357"/>
        <w:contextualSpacing w:val="0"/>
      </w:pPr>
      <w:r w:rsidRPr="00BE1BE6">
        <w:t xml:space="preserve">The </w:t>
      </w:r>
      <w:r w:rsidR="002B0229">
        <w:t xml:space="preserve">ACNC </w:t>
      </w:r>
      <w:r w:rsidRPr="00BE1BE6">
        <w:t>Commissioner should have the discretion to lessen or increa</w:t>
      </w:r>
      <w:r w:rsidR="000D61BD">
        <w:t>se the reporting requirements of</w:t>
      </w:r>
      <w:r w:rsidRPr="00BE1BE6">
        <w:t xml:space="preserve"> a specific</w:t>
      </w:r>
      <w:r w:rsidR="002B0229">
        <w:t xml:space="preserve"> organisation with good reason</w:t>
      </w:r>
      <w:r w:rsidR="000D61BD">
        <w:t>.</w:t>
      </w:r>
    </w:p>
    <w:p w:rsidR="00880B27" w:rsidRDefault="00880B27" w:rsidP="006D01F1">
      <w:pPr>
        <w:pStyle w:val="ListParagraph"/>
        <w:numPr>
          <w:ilvl w:val="0"/>
          <w:numId w:val="11"/>
        </w:numPr>
        <w:spacing w:before="0" w:after="180"/>
        <w:ind w:left="714" w:hanging="357"/>
        <w:contextualSpacing w:val="0"/>
      </w:pPr>
      <w:r>
        <w:t>Enforcement should be a last resort following education, investigation and deliberate attempts to address non-complianc</w:t>
      </w:r>
      <w:r w:rsidR="002B0229">
        <w:t>e through negotiated resolution</w:t>
      </w:r>
      <w:r w:rsidR="000D61BD">
        <w:t>.</w:t>
      </w:r>
    </w:p>
    <w:p w:rsidR="00880B27" w:rsidRDefault="00880B27" w:rsidP="006D01F1">
      <w:pPr>
        <w:pStyle w:val="ListParagraph"/>
        <w:numPr>
          <w:ilvl w:val="0"/>
          <w:numId w:val="11"/>
        </w:numPr>
        <w:spacing w:before="0" w:after="180"/>
        <w:ind w:left="714" w:hanging="357"/>
        <w:contextualSpacing w:val="0"/>
      </w:pPr>
      <w:r>
        <w:t xml:space="preserve">CCA supports </w:t>
      </w:r>
      <w:r w:rsidRPr="00BE1BE6">
        <w:t>‘graduated’</w:t>
      </w:r>
      <w:r w:rsidRPr="00880B27">
        <w:t xml:space="preserve"> </w:t>
      </w:r>
      <w:r w:rsidRPr="00B76601">
        <w:t xml:space="preserve">and </w:t>
      </w:r>
      <w:r>
        <w:t>‘</w:t>
      </w:r>
      <w:r w:rsidRPr="00B76601">
        <w:t>proportional</w:t>
      </w:r>
      <w:r>
        <w:t>’</w:t>
      </w:r>
      <w:r w:rsidRPr="00B76601">
        <w:t xml:space="preserve"> </w:t>
      </w:r>
      <w:r w:rsidRPr="00BE1BE6">
        <w:t>enforcement</w:t>
      </w:r>
      <w:r>
        <w:t>,</w:t>
      </w:r>
      <w:r w:rsidRPr="00BE1BE6">
        <w:t xml:space="preserve"> with clear guidance for organisations about their </w:t>
      </w:r>
      <w:r>
        <w:t xml:space="preserve">obligations, </w:t>
      </w:r>
      <w:r w:rsidRPr="00BE1BE6">
        <w:t>right</w:t>
      </w:r>
      <w:r w:rsidR="002B0229">
        <w:t xml:space="preserve"> of appeal and responsibilities</w:t>
      </w:r>
      <w:r w:rsidR="000D61BD">
        <w:t>.</w:t>
      </w:r>
      <w:r w:rsidRPr="00BE1BE6">
        <w:t xml:space="preserve"> </w:t>
      </w:r>
    </w:p>
    <w:p w:rsidR="00880B27" w:rsidRPr="00BE1BE6" w:rsidRDefault="00297B22" w:rsidP="006D01F1">
      <w:pPr>
        <w:pStyle w:val="ListParagraph"/>
        <w:numPr>
          <w:ilvl w:val="0"/>
          <w:numId w:val="11"/>
        </w:numPr>
        <w:spacing w:before="0" w:after="180"/>
        <w:ind w:left="714" w:hanging="357"/>
        <w:contextualSpacing w:val="0"/>
      </w:pPr>
      <w:r>
        <w:t xml:space="preserve">The </w:t>
      </w:r>
      <w:r w:rsidR="00880B27">
        <w:t xml:space="preserve">ACNC must </w:t>
      </w:r>
      <w:r w:rsidR="00880B27" w:rsidRPr="00BE1BE6">
        <w:t xml:space="preserve">be able to protect </w:t>
      </w:r>
      <w:r w:rsidR="00880B27">
        <w:t xml:space="preserve">not-for-profit </w:t>
      </w:r>
      <w:r w:rsidR="00880B27" w:rsidRPr="00BE1BE6">
        <w:t>assets i</w:t>
      </w:r>
      <w:r w:rsidR="002B0229">
        <w:t>n the case of deregistration</w:t>
      </w:r>
      <w:r w:rsidR="000D61BD">
        <w:t>.</w:t>
      </w:r>
    </w:p>
    <w:p w:rsidR="00880B27" w:rsidRDefault="00880B27" w:rsidP="006D01F1">
      <w:pPr>
        <w:pStyle w:val="ListParagraph"/>
        <w:numPr>
          <w:ilvl w:val="0"/>
          <w:numId w:val="11"/>
        </w:numPr>
        <w:spacing w:before="0" w:after="180"/>
        <w:ind w:left="714" w:hanging="357"/>
        <w:contextualSpacing w:val="0"/>
      </w:pPr>
      <w:r>
        <w:t>The ACNC must be adequately resourced to enable it to fulfil an effective educative role, thereby reducing non-compliance and enhancing reporting practices</w:t>
      </w:r>
      <w:r w:rsidR="000D61BD">
        <w:t>.</w:t>
      </w:r>
    </w:p>
    <w:p w:rsidR="00880B27" w:rsidRDefault="00880B27" w:rsidP="006D01F1">
      <w:pPr>
        <w:pStyle w:val="ListParagraph"/>
        <w:numPr>
          <w:ilvl w:val="0"/>
          <w:numId w:val="11"/>
        </w:numPr>
        <w:spacing w:before="0" w:after="180"/>
        <w:ind w:left="714" w:hanging="357"/>
        <w:contextualSpacing w:val="0"/>
      </w:pPr>
      <w:r>
        <w:t>The ACNC should be enabled to draw on the expertise and networks of other organisations in fulfilling its educative</w:t>
      </w:r>
      <w:r w:rsidR="002B0229">
        <w:t xml:space="preserve"> and information provision role</w:t>
      </w:r>
      <w:r w:rsidR="000D61BD">
        <w:t>.</w:t>
      </w:r>
    </w:p>
    <w:p w:rsidR="00880B27" w:rsidRPr="001729D5" w:rsidRDefault="00880B27" w:rsidP="006D01F1">
      <w:pPr>
        <w:pStyle w:val="ListParagraph"/>
        <w:numPr>
          <w:ilvl w:val="0"/>
          <w:numId w:val="11"/>
        </w:numPr>
        <w:spacing w:before="0" w:after="180"/>
        <w:ind w:left="714" w:hanging="357"/>
        <w:contextualSpacing w:val="0"/>
      </w:pPr>
      <w:r w:rsidRPr="001729D5">
        <w:t>Organisations must have a right to prot</w:t>
      </w:r>
      <w:r w:rsidR="002B0229">
        <w:t>ect the privacy of their donors</w:t>
      </w:r>
      <w:r w:rsidR="000D61BD">
        <w:t>.</w:t>
      </w:r>
      <w:r w:rsidRPr="001729D5">
        <w:t xml:space="preserve">  </w:t>
      </w:r>
    </w:p>
    <w:p w:rsidR="00880B27" w:rsidRPr="001729D5" w:rsidRDefault="00880B27" w:rsidP="006D01F1">
      <w:pPr>
        <w:pStyle w:val="ListParagraph"/>
        <w:numPr>
          <w:ilvl w:val="0"/>
          <w:numId w:val="11"/>
        </w:numPr>
        <w:spacing w:before="0" w:after="180"/>
        <w:ind w:left="714" w:hanging="357"/>
        <w:contextualSpacing w:val="0"/>
      </w:pPr>
      <w:r w:rsidRPr="001729D5">
        <w:t>The ACNC Commissioner should have the power to exclude the provision of information in the public interest if there is risk of harm to individuals, risk of harm to the entity or risk of con</w:t>
      </w:r>
      <w:r w:rsidR="002B0229">
        <w:t>fusing or misleading the public</w:t>
      </w:r>
      <w:r w:rsidR="000D61BD">
        <w:t>.</w:t>
      </w:r>
    </w:p>
    <w:p w:rsidR="00880B27" w:rsidRPr="001729D5" w:rsidRDefault="00880B27" w:rsidP="006D01F1">
      <w:pPr>
        <w:pStyle w:val="ListParagraph"/>
        <w:numPr>
          <w:ilvl w:val="0"/>
          <w:numId w:val="11"/>
        </w:numPr>
        <w:spacing w:before="0" w:after="180"/>
        <w:ind w:left="714" w:hanging="357"/>
        <w:contextualSpacing w:val="0"/>
      </w:pPr>
      <w:r w:rsidRPr="001729D5">
        <w:t xml:space="preserve">The on-line portal needs to be both accessible and able to provide information about the sector that is </w:t>
      </w:r>
      <w:r>
        <w:t xml:space="preserve">accurate, relevant, meaningful and </w:t>
      </w:r>
      <w:r w:rsidRPr="001729D5">
        <w:t xml:space="preserve">responsive to community </w:t>
      </w:r>
      <w:r w:rsidR="002B0229">
        <w:t>and not-for-profit expectations</w:t>
      </w:r>
      <w:r w:rsidR="000D61BD">
        <w:t>.</w:t>
      </w:r>
    </w:p>
    <w:p w:rsidR="00880B27" w:rsidRDefault="00880B27" w:rsidP="006D01F1">
      <w:pPr>
        <w:pStyle w:val="ListParagraph"/>
        <w:numPr>
          <w:ilvl w:val="0"/>
          <w:numId w:val="11"/>
        </w:numPr>
        <w:spacing w:before="0" w:after="180"/>
        <w:ind w:left="714" w:hanging="357"/>
        <w:contextualSpacing w:val="0"/>
      </w:pPr>
      <w:r>
        <w:t>The goal</w:t>
      </w:r>
      <w:r w:rsidR="00297B22">
        <w:t>s</w:t>
      </w:r>
      <w:r>
        <w:t xml:space="preserve"> of reducing not-for-profit red tape and compliance costs should be a key driver in determining reporting requirements</w:t>
      </w:r>
      <w:r w:rsidR="000D61BD">
        <w:t>.</w:t>
      </w:r>
    </w:p>
    <w:p w:rsidR="00880B27" w:rsidRDefault="00880B27" w:rsidP="006D01F1">
      <w:pPr>
        <w:pStyle w:val="ListParagraph"/>
        <w:numPr>
          <w:ilvl w:val="0"/>
          <w:numId w:val="11"/>
        </w:numPr>
        <w:spacing w:before="0" w:after="180"/>
        <w:ind w:left="714" w:hanging="357"/>
        <w:contextualSpacing w:val="0"/>
      </w:pPr>
      <w:r>
        <w:t>T</w:t>
      </w:r>
      <w:r w:rsidRPr="00ED0CD0">
        <w:t xml:space="preserve">he vast majority of not-for-profit reporting </w:t>
      </w:r>
      <w:r>
        <w:t>should</w:t>
      </w:r>
      <w:r w:rsidRPr="00ED0CD0">
        <w:t xml:space="preserve"> be self-r</w:t>
      </w:r>
      <w:r>
        <w:t>eport consisting of brief</w:t>
      </w:r>
      <w:r w:rsidRPr="00ED0CD0">
        <w:t xml:space="preserve"> compliance statements from a responsible person with</w:t>
      </w:r>
      <w:r>
        <w:t>in</w:t>
      </w:r>
      <w:r w:rsidRPr="00ED0CD0">
        <w:t xml:space="preserve"> the organisation against guidelines and principles</w:t>
      </w:r>
      <w:r w:rsidR="000D61BD">
        <w:t>.</w:t>
      </w:r>
    </w:p>
    <w:p w:rsidR="00880B27" w:rsidRPr="006F5564" w:rsidRDefault="00880B27" w:rsidP="006D01F1">
      <w:pPr>
        <w:pStyle w:val="ListParagraph"/>
        <w:numPr>
          <w:ilvl w:val="0"/>
          <w:numId w:val="11"/>
        </w:numPr>
        <w:spacing w:before="0" w:after="180"/>
        <w:ind w:left="714" w:hanging="357"/>
        <w:contextualSpacing w:val="0"/>
      </w:pPr>
      <w:r w:rsidRPr="006F5564">
        <w:t xml:space="preserve">The Commissioner should be given powers to determine how large organisations report for </w:t>
      </w:r>
      <w:r>
        <w:t>multiple entities including</w:t>
      </w:r>
      <w:r w:rsidRPr="006F5564">
        <w:t xml:space="preserve"> discretion to determine simplified reporting where</w:t>
      </w:r>
      <w:r>
        <w:t xml:space="preserve"> appropriate and where group reporting</w:t>
      </w:r>
      <w:r w:rsidR="002B0229">
        <w:t xml:space="preserve"> meets regulatory requirements</w:t>
      </w:r>
      <w:r w:rsidR="000D61BD">
        <w:t>.</w:t>
      </w:r>
    </w:p>
    <w:p w:rsidR="00880B27" w:rsidRPr="00794F53" w:rsidRDefault="00880B27" w:rsidP="006D01F1">
      <w:pPr>
        <w:pStyle w:val="ListParagraph"/>
        <w:numPr>
          <w:ilvl w:val="0"/>
          <w:numId w:val="11"/>
        </w:numPr>
        <w:spacing w:before="0" w:after="180"/>
        <w:ind w:left="714" w:hanging="357"/>
        <w:contextualSpacing w:val="0"/>
      </w:pPr>
      <w:r w:rsidRPr="00794F53">
        <w:t>A step-by-step guide should be made available for all organisations transitioning to the new regulatory regime.  A reasonable transition period should exist to test the impact of the ACNC on red tape reduction and better regulation</w:t>
      </w:r>
      <w:r w:rsidR="000D61BD">
        <w:t>.</w:t>
      </w:r>
    </w:p>
    <w:p w:rsidR="00880B27" w:rsidRPr="00794F53" w:rsidRDefault="00880B27" w:rsidP="006D01F1">
      <w:pPr>
        <w:pStyle w:val="ListParagraph"/>
        <w:numPr>
          <w:ilvl w:val="0"/>
          <w:numId w:val="11"/>
        </w:numPr>
        <w:spacing w:before="0" w:after="180"/>
        <w:ind w:left="714" w:hanging="357"/>
        <w:contextualSpacing w:val="0"/>
      </w:pPr>
      <w:r w:rsidRPr="00794F53">
        <w:t xml:space="preserve">The performance of the ACNC needs to </w:t>
      </w:r>
      <w:proofErr w:type="gramStart"/>
      <w:r w:rsidRPr="00794F53">
        <w:t>monitored</w:t>
      </w:r>
      <w:proofErr w:type="gramEnd"/>
      <w:r w:rsidRPr="00794F53">
        <w:t xml:space="preserve"> against the goal</w:t>
      </w:r>
      <w:r w:rsidR="00297B22">
        <w:t>s</w:t>
      </w:r>
      <w:r w:rsidRPr="00794F53">
        <w:t xml:space="preserve"> of the National Compact, particularly in relation to red tape redu</w:t>
      </w:r>
      <w:r w:rsidR="002B0229">
        <w:t>ction and streamlined reporting</w:t>
      </w:r>
      <w:r w:rsidR="000D61BD">
        <w:t>.</w:t>
      </w:r>
    </w:p>
    <w:p w:rsidR="000D61BD" w:rsidRDefault="00880B27" w:rsidP="006D01F1">
      <w:pPr>
        <w:pStyle w:val="ListParagraph"/>
        <w:numPr>
          <w:ilvl w:val="0"/>
          <w:numId w:val="11"/>
        </w:numPr>
        <w:spacing w:before="0" w:after="180"/>
        <w:ind w:left="714" w:hanging="357"/>
        <w:contextualSpacing w:val="0"/>
      </w:pPr>
      <w:r w:rsidRPr="00794F53">
        <w:t xml:space="preserve">Harmonisation of not-for-profit reporting requirements should be a priority in the ongoing development </w:t>
      </w:r>
      <w:r w:rsidR="002B0229">
        <w:t>of the ACNC reporting framework</w:t>
      </w:r>
      <w:r w:rsidR="000D61BD">
        <w:t>.</w:t>
      </w:r>
    </w:p>
    <w:p w:rsidR="000D61BD" w:rsidRDefault="000D61BD">
      <w:r>
        <w:br w:type="page"/>
      </w:r>
    </w:p>
    <w:p w:rsidR="00880B27" w:rsidRPr="00794F53" w:rsidRDefault="00880B27" w:rsidP="000D61BD">
      <w:pPr>
        <w:pStyle w:val="ListParagraph"/>
        <w:spacing w:before="0" w:after="180"/>
        <w:ind w:left="714"/>
        <w:contextualSpacing w:val="0"/>
      </w:pPr>
    </w:p>
    <w:p w:rsidR="00880B27" w:rsidRPr="00794F53" w:rsidRDefault="00880B27" w:rsidP="006D01F1">
      <w:pPr>
        <w:pStyle w:val="ListParagraph"/>
        <w:numPr>
          <w:ilvl w:val="0"/>
          <w:numId w:val="11"/>
        </w:numPr>
        <w:spacing w:before="0" w:after="180"/>
        <w:ind w:left="714" w:hanging="357"/>
        <w:contextualSpacing w:val="0"/>
      </w:pPr>
      <w:r>
        <w:t>The ACNC must ensure there are clear provisions for procedural fairness in all ACNC actions</w:t>
      </w:r>
      <w:r w:rsidR="000D61BD">
        <w:t>.</w:t>
      </w:r>
      <w:r>
        <w:t xml:space="preserve"> </w:t>
      </w:r>
    </w:p>
    <w:p w:rsidR="00880B27" w:rsidRPr="00880B27" w:rsidRDefault="00880B27" w:rsidP="006D01F1">
      <w:pPr>
        <w:pStyle w:val="ListParagraph"/>
        <w:numPr>
          <w:ilvl w:val="0"/>
          <w:numId w:val="11"/>
        </w:numPr>
        <w:spacing w:before="0" w:after="180"/>
        <w:ind w:left="714" w:hanging="357"/>
        <w:contextualSpacing w:val="0"/>
      </w:pPr>
      <w:r>
        <w:t>The ACNC should determine the charitable status of not-for-profit organisations</w:t>
      </w:r>
      <w:r w:rsidR="000D61BD">
        <w:t>.</w:t>
      </w:r>
    </w:p>
    <w:p w:rsidR="00880B27" w:rsidRDefault="00880B27" w:rsidP="006D01F1">
      <w:pPr>
        <w:pStyle w:val="ListParagraph"/>
        <w:numPr>
          <w:ilvl w:val="0"/>
          <w:numId w:val="11"/>
        </w:numPr>
        <w:spacing w:before="0" w:after="180"/>
        <w:ind w:left="714" w:hanging="357"/>
        <w:contextualSpacing w:val="0"/>
      </w:pPr>
      <w:r>
        <w:t xml:space="preserve">The ACNC should establish </w:t>
      </w:r>
      <w:proofErr w:type="gramStart"/>
      <w:r>
        <w:t>a principles</w:t>
      </w:r>
      <w:proofErr w:type="gramEnd"/>
      <w:r>
        <w:t xml:space="preserve"> based governance compliance requirement that provides guidance rather than prescribing set governance arrangements (drawing on good practice in the United Kingdom and elsewhere)</w:t>
      </w:r>
      <w:r w:rsidR="000D61BD">
        <w:t>.</w:t>
      </w:r>
    </w:p>
    <w:p w:rsidR="00880B27" w:rsidRDefault="00880B27" w:rsidP="006D01F1">
      <w:pPr>
        <w:pStyle w:val="ListParagraph"/>
        <w:numPr>
          <w:ilvl w:val="0"/>
          <w:numId w:val="11"/>
        </w:numPr>
        <w:spacing w:before="0" w:after="180"/>
        <w:ind w:left="714" w:hanging="357"/>
        <w:contextualSpacing w:val="0"/>
      </w:pPr>
      <w:r>
        <w:t>The unique nature of not-for-profit governance and engagement with community should be enhanced by the ACNC governance principles</w:t>
      </w:r>
      <w:r w:rsidR="000D61BD">
        <w:t>.</w:t>
      </w:r>
    </w:p>
    <w:p w:rsidR="00880B27" w:rsidRDefault="00880B27" w:rsidP="006D01F1">
      <w:pPr>
        <w:pStyle w:val="ListParagraph"/>
        <w:numPr>
          <w:ilvl w:val="0"/>
          <w:numId w:val="11"/>
        </w:numPr>
        <w:spacing w:before="0" w:after="180"/>
        <w:ind w:left="714" w:hanging="357"/>
        <w:contextualSpacing w:val="0"/>
      </w:pPr>
      <w:r>
        <w:t>The obligations of the responsible person within a not-for-profit should be appropriate to their role within the organisation and be limited to those ac</w:t>
      </w:r>
      <w:r w:rsidR="002B0229">
        <w:t>ting as directors or equivalent</w:t>
      </w:r>
      <w:r w:rsidR="000D61BD">
        <w:t>.</w:t>
      </w:r>
    </w:p>
    <w:p w:rsidR="00880B27" w:rsidRPr="00880B27" w:rsidRDefault="00880B27" w:rsidP="006D01F1">
      <w:pPr>
        <w:pStyle w:val="ListParagraph"/>
        <w:numPr>
          <w:ilvl w:val="0"/>
          <w:numId w:val="11"/>
        </w:numPr>
        <w:spacing w:before="0" w:after="180"/>
        <w:ind w:left="714" w:hanging="357"/>
        <w:contextualSpacing w:val="0"/>
      </w:pPr>
      <w:r>
        <w:t>The capacity t</w:t>
      </w:r>
      <w:r w:rsidR="000D61BD">
        <w:t>o revoke the registration of a</w:t>
      </w:r>
      <w:r>
        <w:t xml:space="preserve"> not-for-profit needs to be framed by a commitment to procedural fairness, appropriate scaling of sanctions, and transparency </w:t>
      </w:r>
      <w:r w:rsidR="002B0229">
        <w:t>of de-registration requirements</w:t>
      </w:r>
      <w:r w:rsidR="000D61BD">
        <w:t>.</w:t>
      </w:r>
    </w:p>
    <w:p w:rsidR="00880B27" w:rsidRPr="00880B27" w:rsidRDefault="00880B27" w:rsidP="006D01F1">
      <w:pPr>
        <w:pStyle w:val="ListParagraph"/>
        <w:numPr>
          <w:ilvl w:val="0"/>
          <w:numId w:val="11"/>
        </w:numPr>
        <w:spacing w:before="0" w:after="180"/>
        <w:ind w:left="714" w:hanging="357"/>
        <w:contextualSpacing w:val="0"/>
      </w:pPr>
      <w:r>
        <w:t>Risk management and insurance may be alluded to in the ACNC governance principles but shoul</w:t>
      </w:r>
      <w:r w:rsidR="002B0229">
        <w:t>d not be a separate requirement</w:t>
      </w:r>
      <w:r w:rsidR="000D61BD">
        <w:t>.</w:t>
      </w:r>
      <w:r w:rsidRPr="000E0825">
        <w:t xml:space="preserve"> </w:t>
      </w:r>
    </w:p>
    <w:p w:rsidR="00880B27" w:rsidRPr="004D1886" w:rsidRDefault="00880B27" w:rsidP="006D01F1">
      <w:pPr>
        <w:pStyle w:val="ListParagraph"/>
        <w:numPr>
          <w:ilvl w:val="0"/>
          <w:numId w:val="11"/>
        </w:numPr>
        <w:spacing w:before="0" w:after="180"/>
        <w:ind w:left="714" w:hanging="357"/>
        <w:contextualSpacing w:val="0"/>
      </w:pPr>
      <w:r w:rsidRPr="004D1886">
        <w:t>Financial reporting should be based on the current procedures with</w:t>
      </w:r>
      <w:r w:rsidR="002B0229">
        <w:t>in not-for-profit organisations</w:t>
      </w:r>
      <w:r w:rsidR="000D61BD">
        <w:t>.</w:t>
      </w:r>
      <w:r w:rsidRPr="004D1886">
        <w:t xml:space="preserve"> </w:t>
      </w:r>
    </w:p>
    <w:p w:rsidR="00880B27" w:rsidRDefault="00880B27" w:rsidP="006D01F1">
      <w:pPr>
        <w:pStyle w:val="ListParagraph"/>
        <w:numPr>
          <w:ilvl w:val="0"/>
          <w:numId w:val="11"/>
        </w:numPr>
        <w:spacing w:before="0" w:after="180"/>
        <w:ind w:left="714" w:hanging="357"/>
        <w:contextualSpacing w:val="0"/>
      </w:pPr>
      <w:r w:rsidRPr="004D1886">
        <w:t>For larger organisations, one annual financial report should</w:t>
      </w:r>
      <w:r w:rsidR="002B0229">
        <w:t xml:space="preserve"> meet all the ACNC requirements</w:t>
      </w:r>
      <w:r w:rsidR="000D61BD">
        <w:t>.</w:t>
      </w:r>
    </w:p>
    <w:p w:rsidR="00880B27" w:rsidRPr="004D1886" w:rsidRDefault="00880B27" w:rsidP="006D01F1">
      <w:pPr>
        <w:pStyle w:val="ListParagraph"/>
        <w:numPr>
          <w:ilvl w:val="0"/>
          <w:numId w:val="11"/>
        </w:numPr>
        <w:spacing w:before="0" w:after="180"/>
        <w:ind w:left="714" w:hanging="357"/>
        <w:contextualSpacing w:val="0"/>
      </w:pPr>
      <w:r>
        <w:t xml:space="preserve">Any requirements to report on fundraising or commercial activities should </w:t>
      </w:r>
      <w:r w:rsidR="006E11AD">
        <w:t xml:space="preserve">be </w:t>
      </w:r>
      <w:r>
        <w:t>incorporated into the one financial report</w:t>
      </w:r>
      <w:r w:rsidR="000D61BD">
        <w:t>.</w:t>
      </w:r>
    </w:p>
    <w:p w:rsidR="00880B27" w:rsidRPr="004D1886" w:rsidRDefault="00880B27" w:rsidP="006D01F1">
      <w:pPr>
        <w:pStyle w:val="ListParagraph"/>
        <w:numPr>
          <w:ilvl w:val="0"/>
          <w:numId w:val="11"/>
        </w:numPr>
        <w:spacing w:before="0" w:after="180"/>
        <w:ind w:left="714" w:hanging="357"/>
        <w:contextualSpacing w:val="0"/>
      </w:pPr>
      <w:r>
        <w:t xml:space="preserve">The ACNC must work to reduce duplication of not-for-profit reporting requirements across State and Territory governments, and across all Federal government departments.  This includes duplication of reporting to the ACNC and the ATO which should be eliminated as a priority </w:t>
      </w:r>
      <w:r w:rsidR="002B0229">
        <w:t>first step</w:t>
      </w:r>
      <w:r w:rsidR="000D61BD">
        <w:t>.</w:t>
      </w:r>
    </w:p>
    <w:bookmarkEnd w:id="0"/>
    <w:p w:rsidR="00880B27" w:rsidRDefault="00880B27">
      <w:pPr>
        <w:rPr>
          <w:b/>
          <w:u w:val="single"/>
        </w:rPr>
      </w:pPr>
    </w:p>
    <w:p w:rsidR="00880B27" w:rsidRDefault="00880B27">
      <w:pPr>
        <w:rPr>
          <w:b/>
          <w:u w:val="single"/>
        </w:rPr>
      </w:pPr>
    </w:p>
    <w:p w:rsidR="00880B27" w:rsidRDefault="00880B27">
      <w:pPr>
        <w:rPr>
          <w:b/>
          <w:u w:val="single"/>
        </w:rPr>
      </w:pPr>
    </w:p>
    <w:p w:rsidR="00880B27" w:rsidRDefault="00880B27">
      <w:pPr>
        <w:rPr>
          <w:b/>
          <w:u w:val="single"/>
        </w:rPr>
      </w:pPr>
    </w:p>
    <w:p w:rsidR="006D01F1" w:rsidRDefault="006D01F1">
      <w:pPr>
        <w:rPr>
          <w:b/>
          <w:u w:val="single"/>
        </w:rPr>
      </w:pPr>
      <w:r>
        <w:rPr>
          <w:b/>
          <w:u w:val="single"/>
        </w:rPr>
        <w:br w:type="page"/>
      </w:r>
    </w:p>
    <w:p w:rsidR="006E11AD" w:rsidRDefault="006E11AD">
      <w:pPr>
        <w:rPr>
          <w:b/>
          <w:u w:val="single"/>
        </w:rPr>
      </w:pPr>
    </w:p>
    <w:p w:rsidR="00524020" w:rsidRPr="009D340E" w:rsidRDefault="001140EF" w:rsidP="004925FF">
      <w:pPr>
        <w:spacing w:before="0"/>
        <w:rPr>
          <w:rFonts w:asciiTheme="majorHAnsi" w:hAnsiTheme="majorHAnsi"/>
          <w:b/>
          <w:sz w:val="32"/>
          <w:szCs w:val="32"/>
        </w:rPr>
      </w:pPr>
      <w:r>
        <w:rPr>
          <w:rFonts w:asciiTheme="majorHAnsi" w:hAnsiTheme="majorHAnsi"/>
          <w:b/>
          <w:sz w:val="32"/>
          <w:szCs w:val="32"/>
        </w:rPr>
        <w:t>How the ACNC will operate</w:t>
      </w:r>
    </w:p>
    <w:p w:rsidR="004925FF" w:rsidRPr="00626448" w:rsidRDefault="004925FF" w:rsidP="004925FF">
      <w:pPr>
        <w:spacing w:before="0"/>
        <w:rPr>
          <w:b/>
          <w:u w:val="single"/>
        </w:rPr>
      </w:pPr>
    </w:p>
    <w:p w:rsidR="00D76C3C" w:rsidRPr="00626448" w:rsidRDefault="00D76C3C" w:rsidP="004925FF">
      <w:pPr>
        <w:pStyle w:val="ListParagraph"/>
        <w:numPr>
          <w:ilvl w:val="0"/>
          <w:numId w:val="3"/>
        </w:numPr>
        <w:spacing w:before="0"/>
        <w:contextualSpacing w:val="0"/>
        <w:rPr>
          <w:b/>
        </w:rPr>
      </w:pPr>
      <w:r w:rsidRPr="00626448">
        <w:rPr>
          <w:b/>
        </w:rPr>
        <w:t>Independence – culture and practice</w:t>
      </w:r>
    </w:p>
    <w:p w:rsidR="005B55A6" w:rsidRPr="00626448" w:rsidRDefault="005B55A6" w:rsidP="004925FF">
      <w:pPr>
        <w:pStyle w:val="ListParagraph"/>
        <w:spacing w:before="0"/>
        <w:ind w:left="1077"/>
        <w:contextualSpacing w:val="0"/>
        <w:rPr>
          <w:i/>
        </w:rPr>
      </w:pPr>
    </w:p>
    <w:p w:rsidR="005B55A6" w:rsidRPr="00626448" w:rsidRDefault="005B55A6" w:rsidP="006D01F1">
      <w:pPr>
        <w:pStyle w:val="ListParagraph"/>
        <w:spacing w:before="0"/>
        <w:ind w:left="357"/>
        <w:contextualSpacing w:val="0"/>
      </w:pPr>
      <w:r w:rsidRPr="00626448">
        <w:t xml:space="preserve">The one consistent theme of all calls for the establishment of a dedicated regulator for the not-for-profit sector has been to ensure independence </w:t>
      </w:r>
      <w:r w:rsidR="00626448" w:rsidRPr="00626448">
        <w:t xml:space="preserve">from government departments such as the ATO and Treasury, </w:t>
      </w:r>
      <w:r w:rsidRPr="00626448">
        <w:t>and a capacity to understand and reflect the values that drive not-for-profit organisation</w:t>
      </w:r>
      <w:r w:rsidR="0047273D">
        <w:t>s in Australia.  N</w:t>
      </w:r>
      <w:r w:rsidRPr="00626448">
        <w:t xml:space="preserve">ot-for-profits </w:t>
      </w:r>
      <w:r w:rsidR="0047273D">
        <w:t xml:space="preserve">often </w:t>
      </w:r>
      <w:r w:rsidRPr="00626448">
        <w:t>have</w:t>
      </w:r>
      <w:r w:rsidR="0047273D">
        <w:t xml:space="preserve"> to justify </w:t>
      </w:r>
      <w:r w:rsidRPr="00626448">
        <w:t>their purpose</w:t>
      </w:r>
      <w:r w:rsidR="0047273D">
        <w:t>s</w:t>
      </w:r>
      <w:r w:rsidRPr="00626448">
        <w:t xml:space="preserve"> and activities over and over again to different individuals, sections and departments within various regulatory bodies</w:t>
      </w:r>
      <w:r w:rsidR="00626448" w:rsidRPr="00626448">
        <w:t xml:space="preserve"> and government departments</w:t>
      </w:r>
      <w:r w:rsidRPr="00626448">
        <w:t>, most of whom have a very limited understanding of the sector.  It is this lack of understanding and what many have interpreted as an antagonistic approach from various government regulators that has informed and driven the push for the establishment of the ACNC.</w:t>
      </w:r>
    </w:p>
    <w:p w:rsidR="00715BF2" w:rsidRDefault="00715BF2" w:rsidP="006D01F1">
      <w:pPr>
        <w:pStyle w:val="ListParagraph"/>
        <w:spacing w:before="0"/>
        <w:ind w:left="357"/>
        <w:contextualSpacing w:val="0"/>
      </w:pPr>
    </w:p>
    <w:p w:rsidR="005B55A6" w:rsidRDefault="005B55A6" w:rsidP="006D01F1">
      <w:pPr>
        <w:pStyle w:val="ListParagraph"/>
        <w:spacing w:before="0"/>
        <w:ind w:left="357"/>
        <w:contextualSpacing w:val="0"/>
      </w:pPr>
      <w:r w:rsidRPr="00626448">
        <w:t>As a first priority, the ACNC must be given scope to operate independently</w:t>
      </w:r>
      <w:r w:rsidR="00626448" w:rsidRPr="00626448">
        <w:t>.</w:t>
      </w:r>
      <w:r w:rsidR="009702A1" w:rsidRPr="00626448">
        <w:t xml:space="preserve">  It</w:t>
      </w:r>
      <w:r w:rsidRPr="00626448">
        <w:t xml:space="preserve"> must have the</w:t>
      </w:r>
      <w:r w:rsidR="00715BF2">
        <w:t xml:space="preserve"> capacity to recruit and establish</w:t>
      </w:r>
      <w:r w:rsidRPr="00626448">
        <w:t xml:space="preserve"> operating procedures </w:t>
      </w:r>
      <w:r w:rsidR="009702A1" w:rsidRPr="00626448">
        <w:t xml:space="preserve">in a way </w:t>
      </w:r>
      <w:r w:rsidRPr="00626448">
        <w:t>that de</w:t>
      </w:r>
      <w:r w:rsidR="00626448" w:rsidRPr="00626448">
        <w:t>velops and sustains</w:t>
      </w:r>
      <w:r w:rsidR="009702A1" w:rsidRPr="00626448">
        <w:t xml:space="preserve"> a</w:t>
      </w:r>
      <w:r w:rsidR="00626448" w:rsidRPr="00626448">
        <w:t xml:space="preserve">n organisational </w:t>
      </w:r>
      <w:r w:rsidRPr="00626448">
        <w:t>culture supportive of the work of NFPs.</w:t>
      </w:r>
      <w:r w:rsidR="00715BF2">
        <w:t xml:space="preserve">  Over time, the back office functions initially provided by the ATO should be transferred to the ACNC itself.  This commitment to independence should be enshrined in the establishing legislation.</w:t>
      </w:r>
    </w:p>
    <w:p w:rsidR="00715BF2" w:rsidRDefault="00715BF2" w:rsidP="006D01F1">
      <w:pPr>
        <w:pStyle w:val="ListParagraph"/>
        <w:spacing w:before="0"/>
        <w:ind w:left="357"/>
        <w:contextualSpacing w:val="0"/>
      </w:pPr>
    </w:p>
    <w:p w:rsidR="00715BF2" w:rsidRDefault="00715BF2" w:rsidP="006D01F1">
      <w:pPr>
        <w:pStyle w:val="ListParagraph"/>
        <w:spacing w:before="0"/>
        <w:ind w:left="357"/>
        <w:contextualSpacing w:val="0"/>
      </w:pPr>
      <w:r>
        <w:t xml:space="preserve">The scope of the regulator should be restricted to those organisations receiving or seeking tax concessions.  Other (smaller) NFPs may be given the option to register with the ACNC, but registration should not be compulsory. </w:t>
      </w:r>
    </w:p>
    <w:p w:rsidR="00715BF2" w:rsidRDefault="00715BF2" w:rsidP="006D01F1">
      <w:pPr>
        <w:pStyle w:val="ListParagraph"/>
        <w:spacing w:before="0"/>
        <w:ind w:left="357"/>
        <w:contextualSpacing w:val="0"/>
      </w:pPr>
    </w:p>
    <w:p w:rsidR="00715BF2" w:rsidRDefault="00715BF2" w:rsidP="006D01F1">
      <w:pPr>
        <w:pStyle w:val="ListParagraph"/>
        <w:spacing w:before="0"/>
        <w:ind w:left="357"/>
        <w:contextualSpacing w:val="0"/>
      </w:pPr>
      <w:r>
        <w:t xml:space="preserve">Wherever possible the ACNC should draw upon existing information sets provided by NFPs to various </w:t>
      </w:r>
      <w:r w:rsidR="00C50FEC">
        <w:t xml:space="preserve">regulators and </w:t>
      </w:r>
      <w:r>
        <w:t>levels of government for a range of complimentary purposes.</w:t>
      </w:r>
    </w:p>
    <w:p w:rsidR="00715BF2" w:rsidRDefault="00715BF2" w:rsidP="006D01F1">
      <w:pPr>
        <w:pStyle w:val="ListParagraph"/>
        <w:spacing w:before="0"/>
        <w:ind w:left="357"/>
        <w:contextualSpacing w:val="0"/>
      </w:pPr>
    </w:p>
    <w:p w:rsidR="00CB363E" w:rsidRDefault="00C50FEC" w:rsidP="006D01F1">
      <w:pPr>
        <w:pStyle w:val="ListParagraph"/>
        <w:spacing w:before="0"/>
        <w:ind w:left="357"/>
        <w:contextualSpacing w:val="0"/>
      </w:pPr>
      <w:r w:rsidRPr="00CB363E">
        <w:t>T</w:t>
      </w:r>
      <w:r w:rsidR="00B40757" w:rsidRPr="00CB363E">
        <w:t xml:space="preserve">he object of the </w:t>
      </w:r>
      <w:r w:rsidRPr="00CB363E">
        <w:t xml:space="preserve">exposure draft </w:t>
      </w:r>
      <w:r w:rsidR="00B40757" w:rsidRPr="00CB363E">
        <w:t xml:space="preserve">Bill should shift </w:t>
      </w:r>
      <w:r w:rsidR="00CB363E" w:rsidRPr="00CB363E">
        <w:t xml:space="preserve">from compliance, public accountability and transparency to </w:t>
      </w:r>
      <w:r w:rsidR="00CB363E">
        <w:t>an object</w:t>
      </w:r>
      <w:r w:rsidR="00CB363E" w:rsidRPr="00CB363E">
        <w:t xml:space="preserve"> that reflects a commitment to assist</w:t>
      </w:r>
      <w:r w:rsidR="00B40757" w:rsidRPr="00CB363E">
        <w:t xml:space="preserve"> NFPs </w:t>
      </w:r>
      <w:r w:rsidR="00CB363E" w:rsidRPr="00CB363E">
        <w:t>and</w:t>
      </w:r>
      <w:r w:rsidR="00B40757" w:rsidRPr="00CB363E">
        <w:t xml:space="preserve"> enable public benefit for communities</w:t>
      </w:r>
      <w:r w:rsidR="00CB363E" w:rsidRPr="00CB363E">
        <w:t>.  This more positive and enabling policy context should inform the development of the</w:t>
      </w:r>
      <w:r w:rsidR="00B40757" w:rsidRPr="00CB363E">
        <w:t xml:space="preserve"> practices and ope</w:t>
      </w:r>
      <w:r w:rsidR="00CB363E" w:rsidRPr="00CB363E">
        <w:t xml:space="preserve">ration of the ACNC.  </w:t>
      </w:r>
    </w:p>
    <w:p w:rsidR="00CB363E" w:rsidRDefault="00CB363E" w:rsidP="006D01F1">
      <w:pPr>
        <w:pStyle w:val="ListParagraph"/>
        <w:spacing w:before="0"/>
        <w:ind w:left="357"/>
        <w:contextualSpacing w:val="0"/>
      </w:pPr>
    </w:p>
    <w:p w:rsidR="00B40757" w:rsidRPr="00CB363E" w:rsidRDefault="00B40757" w:rsidP="006D01F1">
      <w:pPr>
        <w:pStyle w:val="ListParagraph"/>
        <w:spacing w:before="0"/>
        <w:ind w:left="357"/>
        <w:contextualSpacing w:val="0"/>
      </w:pPr>
      <w:r w:rsidRPr="00CB363E">
        <w:t>The England and Wales Charities Commission has primary objectives</w:t>
      </w:r>
      <w:r w:rsidR="00BF4634" w:rsidRPr="00CB363E">
        <w:t xml:space="preserve"> of</w:t>
      </w:r>
      <w:r w:rsidRPr="00CB363E">
        <w:t xml:space="preserve"> –</w:t>
      </w:r>
      <w:r w:rsidRPr="00626448">
        <w:rPr>
          <w:i/>
        </w:rPr>
        <w:t xml:space="preserve"> increasing public confidence, promoting awareness, promoting legal compliance</w:t>
      </w:r>
      <w:r w:rsidR="00BF4634" w:rsidRPr="00626448">
        <w:rPr>
          <w:i/>
        </w:rPr>
        <w:t>, promoting</w:t>
      </w:r>
      <w:r w:rsidRPr="00626448">
        <w:rPr>
          <w:i/>
        </w:rPr>
        <w:t xml:space="preserve"> effective use of charitable resources</w:t>
      </w:r>
      <w:r w:rsidR="00297B22">
        <w:rPr>
          <w:i/>
        </w:rPr>
        <w:t xml:space="preserve"> and</w:t>
      </w:r>
      <w:r w:rsidRPr="00626448">
        <w:rPr>
          <w:i/>
        </w:rPr>
        <w:t xml:space="preserve"> enhancing the accountability of charities to donors, beneficiaries and the general public</w:t>
      </w:r>
      <w:r w:rsidR="0047273D">
        <w:rPr>
          <w:i/>
        </w:rPr>
        <w:t xml:space="preserve">’ </w:t>
      </w:r>
      <w:r w:rsidR="0047273D" w:rsidRPr="0047273D">
        <w:t>but it</w:t>
      </w:r>
      <w:r w:rsidRPr="0047273D">
        <w:t xml:space="preserve"> also includes </w:t>
      </w:r>
      <w:r w:rsidR="0047273D" w:rsidRPr="0047273D">
        <w:t>a</w:t>
      </w:r>
      <w:r w:rsidR="0047273D">
        <w:rPr>
          <w:i/>
        </w:rPr>
        <w:t xml:space="preserve"> ‘</w:t>
      </w:r>
      <w:r w:rsidRPr="00626448">
        <w:rPr>
          <w:i/>
        </w:rPr>
        <w:t xml:space="preserve">requirement to act to encourage charitable giving and voluntary participation in charity work. Other </w:t>
      </w:r>
      <w:r w:rsidR="00B053DF" w:rsidRPr="00626448">
        <w:rPr>
          <w:i/>
        </w:rPr>
        <w:t>objectives include</w:t>
      </w:r>
      <w:r w:rsidRPr="00626448">
        <w:rPr>
          <w:i/>
        </w:rPr>
        <w:t xml:space="preserve"> – sustainability of organisations, capacity building and innovation</w:t>
      </w:r>
      <w:r w:rsidR="00CB363E">
        <w:rPr>
          <w:i/>
        </w:rPr>
        <w:t xml:space="preserve">. </w:t>
      </w:r>
      <w:r w:rsidR="00CB363E" w:rsidRPr="00CB363E">
        <w:t xml:space="preserve"> It is important to note that almost all </w:t>
      </w:r>
      <w:r w:rsidR="00CB363E">
        <w:t>the</w:t>
      </w:r>
      <w:r w:rsidR="00CB363E" w:rsidRPr="00CB363E">
        <w:t xml:space="preserve"> principles </w:t>
      </w:r>
      <w:r w:rsidR="00CB363E">
        <w:t xml:space="preserve">above </w:t>
      </w:r>
      <w:r w:rsidR="00CB363E" w:rsidRPr="00CB363E">
        <w:t xml:space="preserve">are reflected in the </w:t>
      </w:r>
      <w:r w:rsidRPr="00CB363E">
        <w:t>National Compact</w:t>
      </w:r>
      <w:r w:rsidR="00CB363E" w:rsidRPr="00CB363E">
        <w:t xml:space="preserve"> between the Federal government and the not-for-profit sector.</w:t>
      </w:r>
      <w:r w:rsidRPr="00CB363E">
        <w:t xml:space="preserve"> </w:t>
      </w:r>
      <w:r w:rsidR="00CB363E">
        <w:t xml:space="preserve"> For this reason the CCA believes the National Compact should be actively referenced as part of the policy context for the operations of the ACNC.</w:t>
      </w:r>
    </w:p>
    <w:p w:rsidR="00BF4634" w:rsidRPr="00626448" w:rsidRDefault="00BF4634" w:rsidP="006D01F1">
      <w:pPr>
        <w:pStyle w:val="ListParagraph"/>
        <w:spacing w:before="0"/>
        <w:ind w:left="357"/>
        <w:contextualSpacing w:val="0"/>
        <w:rPr>
          <w:i/>
        </w:rPr>
      </w:pPr>
    </w:p>
    <w:p w:rsidR="00BF4634" w:rsidRPr="005E03C9" w:rsidRDefault="00CB363E" w:rsidP="006D01F1">
      <w:pPr>
        <w:pStyle w:val="ListParagraph"/>
        <w:spacing w:before="0"/>
        <w:ind w:left="357"/>
        <w:contextualSpacing w:val="0"/>
      </w:pPr>
      <w:r w:rsidRPr="005E03C9">
        <w:lastRenderedPageBreak/>
        <w:t>It is also important to note that the</w:t>
      </w:r>
      <w:r w:rsidR="00BF4634" w:rsidRPr="005E03C9">
        <w:t xml:space="preserve"> regulatory approach outlined by the ACNC Implementation Taskforce in its discussion paper on Implementation Design (9 December 2011) contains many useful concepts and principles that should become the focus of the legislation such as:</w:t>
      </w:r>
    </w:p>
    <w:p w:rsidR="00BF4634" w:rsidRPr="00626448" w:rsidRDefault="00BF4634" w:rsidP="000D61BD">
      <w:pPr>
        <w:pStyle w:val="ListParagraph"/>
        <w:numPr>
          <w:ilvl w:val="0"/>
          <w:numId w:val="10"/>
        </w:numPr>
        <w:spacing w:before="0"/>
        <w:ind w:left="1071" w:hanging="357"/>
        <w:contextualSpacing w:val="0"/>
        <w:rPr>
          <w:i/>
        </w:rPr>
      </w:pPr>
      <w:r w:rsidRPr="00626448">
        <w:rPr>
          <w:i/>
        </w:rPr>
        <w:t xml:space="preserve">Beginning from </w:t>
      </w:r>
      <w:r w:rsidR="00297B22">
        <w:rPr>
          <w:i/>
        </w:rPr>
        <w:t>a</w:t>
      </w:r>
      <w:r w:rsidRPr="00626448">
        <w:rPr>
          <w:i/>
        </w:rPr>
        <w:t xml:space="preserve"> presumption of honesty</w:t>
      </w:r>
    </w:p>
    <w:p w:rsidR="00BF4634" w:rsidRPr="00626448" w:rsidRDefault="00BF4634" w:rsidP="000D61BD">
      <w:pPr>
        <w:pStyle w:val="ListParagraph"/>
        <w:numPr>
          <w:ilvl w:val="0"/>
          <w:numId w:val="10"/>
        </w:numPr>
        <w:spacing w:before="0"/>
        <w:ind w:left="1071" w:hanging="357"/>
        <w:contextualSpacing w:val="0"/>
        <w:rPr>
          <w:i/>
        </w:rPr>
      </w:pPr>
      <w:r w:rsidRPr="00626448">
        <w:rPr>
          <w:i/>
        </w:rPr>
        <w:t>Proportionality</w:t>
      </w:r>
    </w:p>
    <w:p w:rsidR="00BF4634" w:rsidRPr="00626448" w:rsidRDefault="00BF4634" w:rsidP="000D61BD">
      <w:pPr>
        <w:pStyle w:val="ListParagraph"/>
        <w:numPr>
          <w:ilvl w:val="0"/>
          <w:numId w:val="10"/>
        </w:numPr>
        <w:spacing w:before="0"/>
        <w:ind w:left="1071" w:hanging="357"/>
        <w:contextualSpacing w:val="0"/>
        <w:rPr>
          <w:i/>
        </w:rPr>
      </w:pPr>
      <w:r w:rsidRPr="00626448">
        <w:rPr>
          <w:i/>
        </w:rPr>
        <w:t>Transparency</w:t>
      </w:r>
    </w:p>
    <w:p w:rsidR="00BF4634" w:rsidRPr="00626448" w:rsidRDefault="00BF4634" w:rsidP="000D61BD">
      <w:pPr>
        <w:pStyle w:val="ListParagraph"/>
        <w:numPr>
          <w:ilvl w:val="0"/>
          <w:numId w:val="10"/>
        </w:numPr>
        <w:spacing w:before="0"/>
        <w:ind w:left="1071" w:hanging="357"/>
        <w:contextualSpacing w:val="0"/>
        <w:rPr>
          <w:i/>
        </w:rPr>
      </w:pPr>
      <w:r w:rsidRPr="00626448">
        <w:rPr>
          <w:i/>
        </w:rPr>
        <w:t>Fairness</w:t>
      </w:r>
    </w:p>
    <w:p w:rsidR="00BF4634" w:rsidRPr="00626448" w:rsidRDefault="00BF4634" w:rsidP="000D61BD">
      <w:pPr>
        <w:pStyle w:val="ListParagraph"/>
        <w:numPr>
          <w:ilvl w:val="0"/>
          <w:numId w:val="10"/>
        </w:numPr>
        <w:spacing w:before="0"/>
        <w:ind w:left="1071" w:hanging="357"/>
        <w:contextualSpacing w:val="0"/>
        <w:rPr>
          <w:i/>
        </w:rPr>
      </w:pPr>
      <w:r w:rsidRPr="00626448">
        <w:rPr>
          <w:i/>
        </w:rPr>
        <w:t>Timeliness</w:t>
      </w:r>
    </w:p>
    <w:p w:rsidR="00BF4634" w:rsidRPr="00626448" w:rsidRDefault="0047273D" w:rsidP="000D61BD">
      <w:pPr>
        <w:pStyle w:val="ListParagraph"/>
        <w:numPr>
          <w:ilvl w:val="0"/>
          <w:numId w:val="10"/>
        </w:numPr>
        <w:spacing w:before="0"/>
        <w:ind w:left="1071" w:hanging="357"/>
        <w:contextualSpacing w:val="0"/>
        <w:rPr>
          <w:i/>
        </w:rPr>
      </w:pPr>
      <w:r>
        <w:rPr>
          <w:i/>
        </w:rPr>
        <w:t>Consistency</w:t>
      </w:r>
    </w:p>
    <w:p w:rsidR="00BF4634" w:rsidRPr="00626448" w:rsidRDefault="00BF4634" w:rsidP="000D61BD">
      <w:pPr>
        <w:pStyle w:val="ListParagraph"/>
        <w:numPr>
          <w:ilvl w:val="0"/>
          <w:numId w:val="10"/>
        </w:numPr>
        <w:spacing w:before="0"/>
        <w:ind w:left="1071" w:hanging="357"/>
        <w:contextualSpacing w:val="0"/>
        <w:rPr>
          <w:i/>
        </w:rPr>
      </w:pPr>
      <w:r w:rsidRPr="00626448">
        <w:rPr>
          <w:i/>
        </w:rPr>
        <w:t xml:space="preserve">Recognising that non-compliance usually results from </w:t>
      </w:r>
      <w:r w:rsidR="00297B22">
        <w:rPr>
          <w:i/>
        </w:rPr>
        <w:t xml:space="preserve">a </w:t>
      </w:r>
      <w:r w:rsidRPr="00626448">
        <w:rPr>
          <w:i/>
        </w:rPr>
        <w:t>lack of knowledge or capability, rather than refusal.</w:t>
      </w:r>
    </w:p>
    <w:p w:rsidR="00BF4634" w:rsidRPr="00626448" w:rsidRDefault="00BF4634" w:rsidP="006D01F1">
      <w:pPr>
        <w:spacing w:before="0"/>
        <w:ind w:left="0"/>
        <w:rPr>
          <w:i/>
        </w:rPr>
      </w:pPr>
    </w:p>
    <w:p w:rsidR="00C50FEC" w:rsidRDefault="00B053DF" w:rsidP="006D01F1">
      <w:pPr>
        <w:pStyle w:val="ListParagraph"/>
        <w:spacing w:before="0"/>
        <w:ind w:left="357"/>
        <w:contextualSpacing w:val="0"/>
      </w:pPr>
      <w:r w:rsidRPr="005E03C9">
        <w:t xml:space="preserve">Omitted from the draft legislation are powers so </w:t>
      </w:r>
      <w:r w:rsidR="000A25DA" w:rsidRPr="005E03C9">
        <w:t xml:space="preserve">the ACNC </w:t>
      </w:r>
      <w:r w:rsidRPr="005E03C9">
        <w:t xml:space="preserve">can </w:t>
      </w:r>
      <w:r w:rsidR="000A25DA" w:rsidRPr="005E03C9">
        <w:t xml:space="preserve">report on its activities and functions and objectives to </w:t>
      </w:r>
      <w:r w:rsidRPr="005E03C9">
        <w:t>governments</w:t>
      </w:r>
      <w:r w:rsidR="000A25DA" w:rsidRPr="005E03C9">
        <w:t xml:space="preserve"> (as is the case in Singapore, Ireland, </w:t>
      </w:r>
      <w:proofErr w:type="gramStart"/>
      <w:r w:rsidRPr="005E03C9">
        <w:t>NZ</w:t>
      </w:r>
      <w:proofErr w:type="gramEnd"/>
      <w:r w:rsidRPr="005E03C9">
        <w:t>,</w:t>
      </w:r>
      <w:r w:rsidR="000A25DA" w:rsidRPr="005E03C9">
        <w:t xml:space="preserve"> UK).</w:t>
      </w:r>
      <w:r w:rsidR="009630FA" w:rsidRPr="005E03C9">
        <w:t xml:space="preserve"> </w:t>
      </w:r>
      <w:r w:rsidR="00C50FEC" w:rsidRPr="005E03C9">
        <w:t xml:space="preserve">CCA believes the ACNC should provide an </w:t>
      </w:r>
      <w:r w:rsidR="005E03C9">
        <w:t xml:space="preserve">annual </w:t>
      </w:r>
      <w:r w:rsidR="00C50FEC" w:rsidRPr="005E03C9">
        <w:t>independent report to the Federal Parliament.</w:t>
      </w:r>
    </w:p>
    <w:p w:rsidR="005E03C9" w:rsidRDefault="005E03C9" w:rsidP="006D01F1">
      <w:pPr>
        <w:pStyle w:val="ListParagraph"/>
        <w:spacing w:before="0"/>
        <w:ind w:left="357"/>
        <w:contextualSpacing w:val="0"/>
      </w:pPr>
    </w:p>
    <w:p w:rsidR="005E03C9" w:rsidRPr="00B74F3F" w:rsidRDefault="001729D5" w:rsidP="006D01F1">
      <w:pPr>
        <w:pStyle w:val="ListParagraph"/>
        <w:spacing w:before="0" w:after="120"/>
        <w:ind w:left="357"/>
        <w:contextualSpacing w:val="0"/>
        <w:rPr>
          <w:b/>
        </w:rPr>
      </w:pPr>
      <w:r>
        <w:rPr>
          <w:b/>
        </w:rPr>
        <w:t>R</w:t>
      </w:r>
      <w:r w:rsidR="005E03C9" w:rsidRPr="00B74F3F">
        <w:rPr>
          <w:b/>
        </w:rPr>
        <w:t>ecommendations:</w:t>
      </w:r>
    </w:p>
    <w:p w:rsidR="000D61BD" w:rsidRDefault="000D61BD" w:rsidP="000D61BD">
      <w:pPr>
        <w:pStyle w:val="ListParagraph"/>
        <w:numPr>
          <w:ilvl w:val="0"/>
          <w:numId w:val="33"/>
        </w:numPr>
        <w:spacing w:before="0" w:after="180"/>
        <w:contextualSpacing w:val="0"/>
      </w:pPr>
      <w:r>
        <w:t>The independence of the ACNC must be enshrined in legislation.  This includes a capacity to recruit staff and develop its own operations and procedures to ensure the ACNC reflects an understanding of the sector and a commitment to the invaluable role of not-for-profit organisations in Australia.</w:t>
      </w:r>
    </w:p>
    <w:p w:rsidR="000D61BD" w:rsidRDefault="000D61BD" w:rsidP="000D61BD">
      <w:pPr>
        <w:pStyle w:val="ListParagraph"/>
        <w:numPr>
          <w:ilvl w:val="0"/>
          <w:numId w:val="33"/>
        </w:numPr>
        <w:spacing w:before="0" w:after="180"/>
        <w:contextualSpacing w:val="0"/>
      </w:pPr>
      <w:r>
        <w:t>The ACNC should report to the Australian Federal Parliament on an annual basis.</w:t>
      </w:r>
    </w:p>
    <w:p w:rsidR="005E03C9" w:rsidRDefault="005E03C9" w:rsidP="006E11AD">
      <w:pPr>
        <w:pStyle w:val="ListParagraph"/>
        <w:numPr>
          <w:ilvl w:val="0"/>
          <w:numId w:val="33"/>
        </w:numPr>
        <w:spacing w:before="0" w:after="120"/>
        <w:contextualSpacing w:val="0"/>
      </w:pPr>
      <w:r>
        <w:t xml:space="preserve">The scope of the ACNC should be restricted to those organisations receiving or seeking tax concessions.  Other (smaller) NFPs may be given the option to register with the ACNC, but registration should not be compulsory. </w:t>
      </w:r>
    </w:p>
    <w:p w:rsidR="005E03C9" w:rsidRDefault="005E03C9" w:rsidP="006E11AD">
      <w:pPr>
        <w:pStyle w:val="ListParagraph"/>
        <w:numPr>
          <w:ilvl w:val="0"/>
          <w:numId w:val="33"/>
        </w:numPr>
        <w:spacing w:before="0" w:after="120"/>
        <w:contextualSpacing w:val="0"/>
      </w:pPr>
      <w:r>
        <w:t>The establishing legislation should make reference to the National Compact and provide a set of guiding principles that reflect the need to enhance the role of not-for-profit organisations in Australia.</w:t>
      </w:r>
    </w:p>
    <w:p w:rsidR="005E03C9" w:rsidRDefault="00B74F3F" w:rsidP="006E11AD">
      <w:pPr>
        <w:pStyle w:val="ListParagraph"/>
        <w:numPr>
          <w:ilvl w:val="0"/>
          <w:numId w:val="33"/>
        </w:numPr>
        <w:spacing w:before="0" w:after="120"/>
        <w:contextualSpacing w:val="0"/>
      </w:pPr>
      <w:r>
        <w:t xml:space="preserve">The ACNC should </w:t>
      </w:r>
      <w:r w:rsidR="005E03C9">
        <w:t>adopt a ‘light touch’ reporting framework that draws upon infor</w:t>
      </w:r>
      <w:r>
        <w:t>mation already collected by or readily available to NFPs.</w:t>
      </w:r>
    </w:p>
    <w:p w:rsidR="00B74F3F" w:rsidRDefault="00B74F3F" w:rsidP="005E03C9">
      <w:pPr>
        <w:pStyle w:val="ListParagraph"/>
        <w:spacing w:before="0"/>
        <w:ind w:left="1077"/>
        <w:contextualSpacing w:val="0"/>
      </w:pPr>
    </w:p>
    <w:p w:rsidR="00D76C3C" w:rsidRPr="00626448" w:rsidRDefault="00D76C3C" w:rsidP="001140EF">
      <w:pPr>
        <w:pStyle w:val="ListParagraph"/>
        <w:numPr>
          <w:ilvl w:val="0"/>
          <w:numId w:val="3"/>
        </w:numPr>
        <w:spacing w:before="0"/>
        <w:contextualSpacing w:val="0"/>
      </w:pPr>
      <w:r w:rsidRPr="00626448">
        <w:rPr>
          <w:b/>
        </w:rPr>
        <w:t>ACNC Advisory Board (mostly sector knowledge</w:t>
      </w:r>
      <w:r w:rsidRPr="001140EF">
        <w:rPr>
          <w:b/>
        </w:rPr>
        <w:t>)</w:t>
      </w:r>
    </w:p>
    <w:p w:rsidR="001140EF" w:rsidRDefault="001140EF" w:rsidP="004925FF">
      <w:pPr>
        <w:pStyle w:val="ListParagraph"/>
        <w:spacing w:before="0"/>
        <w:ind w:left="1077"/>
        <w:contextualSpacing w:val="0"/>
      </w:pPr>
    </w:p>
    <w:p w:rsidR="00FC467E" w:rsidRPr="00FC467E" w:rsidRDefault="00B74F3F" w:rsidP="006D01F1">
      <w:pPr>
        <w:pStyle w:val="ListParagraph"/>
        <w:spacing w:before="0"/>
        <w:ind w:left="357"/>
        <w:contextualSpacing w:val="0"/>
      </w:pPr>
      <w:r w:rsidRPr="00FC467E">
        <w:t xml:space="preserve">It </w:t>
      </w:r>
      <w:r w:rsidR="005E03C9" w:rsidRPr="00FC467E">
        <w:t>i</w:t>
      </w:r>
      <w:r w:rsidRPr="00FC467E">
        <w:t>s</w:t>
      </w:r>
      <w:r w:rsidR="005E03C9" w:rsidRPr="00FC467E">
        <w:t xml:space="preserve"> important</w:t>
      </w:r>
      <w:r w:rsidR="00FC467E" w:rsidRPr="00FC467E">
        <w:t xml:space="preserve"> that</w:t>
      </w:r>
      <w:r w:rsidR="00A10502" w:rsidRPr="00FC467E">
        <w:t xml:space="preserve"> the appointment </w:t>
      </w:r>
      <w:r w:rsidR="00665272" w:rsidRPr="00FC467E">
        <w:t>of the Board is t</w:t>
      </w:r>
      <w:r w:rsidR="00FC467E" w:rsidRPr="00FC467E">
        <w:t>ransparent,</w:t>
      </w:r>
      <w:r w:rsidR="00665272" w:rsidRPr="00FC467E">
        <w:t xml:space="preserve"> has the scope to give r</w:t>
      </w:r>
      <w:r w:rsidR="00FC467E" w:rsidRPr="00FC467E">
        <w:t xml:space="preserve">eal advice to </w:t>
      </w:r>
      <w:r w:rsidR="00297B22">
        <w:t xml:space="preserve">the </w:t>
      </w:r>
      <w:r w:rsidR="00FC467E" w:rsidRPr="00FC467E">
        <w:t xml:space="preserve">ACNC, and </w:t>
      </w:r>
      <w:r w:rsidR="00665272" w:rsidRPr="00FC467E">
        <w:t>includes people with expertise in NFP sector regulation and capacity building.</w:t>
      </w:r>
      <w:r w:rsidR="00FC467E" w:rsidRPr="00FC467E">
        <w:t xml:space="preserve">    </w:t>
      </w:r>
    </w:p>
    <w:p w:rsidR="00FC467E" w:rsidRPr="00FC467E" w:rsidRDefault="00FC467E" w:rsidP="006D01F1">
      <w:pPr>
        <w:pStyle w:val="ListParagraph"/>
        <w:spacing w:before="0"/>
        <w:ind w:left="357"/>
        <w:contextualSpacing w:val="0"/>
      </w:pPr>
    </w:p>
    <w:p w:rsidR="00FC467E" w:rsidRPr="00FC467E" w:rsidRDefault="00FC467E" w:rsidP="006D01F1">
      <w:pPr>
        <w:pStyle w:val="ListParagraph"/>
        <w:spacing w:before="0"/>
        <w:ind w:left="357"/>
        <w:contextualSpacing w:val="0"/>
      </w:pPr>
      <w:r w:rsidRPr="00FC467E">
        <w:t>CCA is concerned that Clause 170-15 empowers the Advisory Board to give advice and make recommendations at the request of the Commissioner only.</w:t>
      </w:r>
      <w:r w:rsidR="0047273D">
        <w:t xml:space="preserve"> </w:t>
      </w:r>
      <w:r w:rsidRPr="00FC467E">
        <w:t xml:space="preserve"> This means there is no mechanism for the sector to raise issues about the operation of the ACNC. The ASIC Expert Advisory Panel has this power.</w:t>
      </w:r>
    </w:p>
    <w:p w:rsidR="00FC467E" w:rsidRPr="00FC467E" w:rsidRDefault="00FC467E" w:rsidP="006D01F1">
      <w:pPr>
        <w:pStyle w:val="ListParagraph"/>
        <w:spacing w:before="0"/>
        <w:ind w:left="357"/>
        <w:contextualSpacing w:val="0"/>
      </w:pPr>
    </w:p>
    <w:p w:rsidR="00B52F5E" w:rsidRDefault="00B52F5E" w:rsidP="006D01F1">
      <w:pPr>
        <w:pStyle w:val="ListParagraph"/>
        <w:spacing w:before="0"/>
        <w:ind w:left="357"/>
        <w:contextualSpacing w:val="0"/>
      </w:pPr>
    </w:p>
    <w:p w:rsidR="00B52F5E" w:rsidRDefault="00B52F5E" w:rsidP="006D01F1">
      <w:pPr>
        <w:pStyle w:val="ListParagraph"/>
        <w:spacing w:before="0"/>
        <w:ind w:left="357"/>
        <w:contextualSpacing w:val="0"/>
      </w:pPr>
    </w:p>
    <w:p w:rsidR="00FC467E" w:rsidRPr="00FC467E" w:rsidRDefault="00FC467E" w:rsidP="006D01F1">
      <w:pPr>
        <w:pStyle w:val="ListParagraph"/>
        <w:spacing w:before="0"/>
        <w:ind w:left="357"/>
        <w:contextualSpacing w:val="0"/>
      </w:pPr>
      <w:r w:rsidRPr="00FC467E">
        <w:t xml:space="preserve">Similarly Clause 161-15 states the information provided by the Board can be disregarded by the Commissioner; however there should be a requirement that the Commissioner has to take note of and respond to the advice of the </w:t>
      </w:r>
      <w:r w:rsidR="00297B22">
        <w:t>B</w:t>
      </w:r>
      <w:r w:rsidR="00297B22" w:rsidRPr="00FC467E">
        <w:t>oard</w:t>
      </w:r>
      <w:r w:rsidRPr="00FC467E">
        <w:t>, which does not mean the Commissioner must fully accept or act on the advice received.</w:t>
      </w:r>
    </w:p>
    <w:p w:rsidR="00FC467E" w:rsidRPr="00FC467E" w:rsidRDefault="00FC467E" w:rsidP="006D01F1">
      <w:pPr>
        <w:pStyle w:val="ListParagraph"/>
        <w:spacing w:before="0"/>
        <w:ind w:left="357"/>
        <w:contextualSpacing w:val="0"/>
      </w:pPr>
    </w:p>
    <w:p w:rsidR="00FC467E" w:rsidRPr="00FC467E" w:rsidRDefault="00FC467E" w:rsidP="006D01F1">
      <w:pPr>
        <w:pStyle w:val="ListParagraph"/>
        <w:spacing w:before="0"/>
        <w:ind w:left="357"/>
        <w:contextualSpacing w:val="0"/>
      </w:pPr>
      <w:r w:rsidRPr="00FC467E">
        <w:t>Clause 171-40 allows the Minister to terminate appointments without any rationale.</w:t>
      </w:r>
    </w:p>
    <w:p w:rsidR="00FC467E" w:rsidRPr="00FC467E" w:rsidRDefault="00FC467E" w:rsidP="006D01F1">
      <w:pPr>
        <w:pStyle w:val="ListParagraph"/>
        <w:spacing w:before="0"/>
        <w:ind w:left="357"/>
        <w:contextualSpacing w:val="0"/>
      </w:pPr>
    </w:p>
    <w:p w:rsidR="00FC467E" w:rsidRPr="00FC467E" w:rsidRDefault="00FC467E" w:rsidP="006D01F1">
      <w:pPr>
        <w:pStyle w:val="ListParagraph"/>
        <w:spacing w:before="0" w:after="120"/>
        <w:ind w:left="357"/>
        <w:contextualSpacing w:val="0"/>
        <w:rPr>
          <w:b/>
        </w:rPr>
      </w:pPr>
      <w:r w:rsidRPr="00FC467E">
        <w:rPr>
          <w:b/>
        </w:rPr>
        <w:t>Recommendations</w:t>
      </w:r>
    </w:p>
    <w:p w:rsidR="008D65F5" w:rsidRPr="00FC467E" w:rsidRDefault="009630FA" w:rsidP="006E11AD">
      <w:pPr>
        <w:pStyle w:val="ListParagraph"/>
        <w:numPr>
          <w:ilvl w:val="0"/>
          <w:numId w:val="33"/>
        </w:numPr>
        <w:spacing w:before="0" w:after="120"/>
        <w:contextualSpacing w:val="0"/>
      </w:pPr>
      <w:r w:rsidRPr="00FC467E">
        <w:t xml:space="preserve">The </w:t>
      </w:r>
      <w:r w:rsidR="00506797">
        <w:t xml:space="preserve">ACNC Advisory </w:t>
      </w:r>
      <w:r w:rsidRPr="00FC467E">
        <w:t>Board should be given p</w:t>
      </w:r>
      <w:r w:rsidR="00DE0253" w:rsidRPr="00FC467E">
        <w:t xml:space="preserve">owers to </w:t>
      </w:r>
      <w:proofErr w:type="gramStart"/>
      <w:r w:rsidR="00DE0253" w:rsidRPr="00FC467E">
        <w:t>advise</w:t>
      </w:r>
      <w:proofErr w:type="gramEnd"/>
      <w:r w:rsidR="00DE0253" w:rsidRPr="00FC467E">
        <w:t xml:space="preserve"> on </w:t>
      </w:r>
      <w:r w:rsidR="00FC467E" w:rsidRPr="00FC467E">
        <w:t>any issue it considers relevant to the effective operation of the ACNC</w:t>
      </w:r>
      <w:r w:rsidR="0047273D">
        <w:t>.</w:t>
      </w:r>
      <w:r w:rsidR="00DE0253" w:rsidRPr="00FC467E">
        <w:t xml:space="preserve"> </w:t>
      </w:r>
    </w:p>
    <w:p w:rsidR="008D65F5" w:rsidRPr="00FC467E" w:rsidRDefault="008D65F5" w:rsidP="006E11AD">
      <w:pPr>
        <w:pStyle w:val="ListParagraph"/>
        <w:numPr>
          <w:ilvl w:val="0"/>
          <w:numId w:val="33"/>
        </w:numPr>
        <w:spacing w:before="0" w:after="120"/>
        <w:contextualSpacing w:val="0"/>
      </w:pPr>
      <w:r w:rsidRPr="00FC467E">
        <w:t xml:space="preserve">The </w:t>
      </w:r>
      <w:r w:rsidR="00506797">
        <w:t xml:space="preserve">ACNC </w:t>
      </w:r>
      <w:r w:rsidRPr="00FC467E">
        <w:t xml:space="preserve">Commissioner should be required to </w:t>
      </w:r>
      <w:r w:rsidR="00FC467E" w:rsidRPr="00FC467E">
        <w:t xml:space="preserve">take note of and respond to </w:t>
      </w:r>
      <w:r w:rsidRPr="00FC467E">
        <w:t xml:space="preserve">the </w:t>
      </w:r>
      <w:r w:rsidR="0047273D">
        <w:t>advice that the</w:t>
      </w:r>
      <w:r w:rsidR="002B0229" w:rsidRPr="002B0229">
        <w:t xml:space="preserve"> </w:t>
      </w:r>
      <w:r w:rsidR="002B0229">
        <w:t>ACNC Advisory</w:t>
      </w:r>
      <w:r w:rsidR="0047273D">
        <w:t xml:space="preserve"> Board provides.</w:t>
      </w:r>
    </w:p>
    <w:p w:rsidR="008D65F5" w:rsidRPr="00FC467E" w:rsidRDefault="00506797" w:rsidP="006E11AD">
      <w:pPr>
        <w:pStyle w:val="ListParagraph"/>
        <w:numPr>
          <w:ilvl w:val="0"/>
          <w:numId w:val="33"/>
        </w:numPr>
        <w:spacing w:before="0"/>
      </w:pPr>
      <w:r>
        <w:t xml:space="preserve">ACNC Advisory Board </w:t>
      </w:r>
      <w:r w:rsidR="008D65F5" w:rsidRPr="00FC467E">
        <w:t xml:space="preserve">Members should only be terminated </w:t>
      </w:r>
      <w:r w:rsidR="00FC467E" w:rsidRPr="00FC467E">
        <w:t>by the Minister if there are grounds for that dismissal such as</w:t>
      </w:r>
      <w:r w:rsidR="00297B22">
        <w:t>:</w:t>
      </w:r>
      <w:r w:rsidR="00FC467E" w:rsidRPr="00FC467E">
        <w:t xml:space="preserve"> </w:t>
      </w:r>
      <w:r>
        <w:t xml:space="preserve">end of term of appointment, </w:t>
      </w:r>
      <w:r w:rsidR="00FC467E" w:rsidRPr="00FC467E">
        <w:t>insolvency, incapacity, inadequate attendance or performance.</w:t>
      </w:r>
      <w:r w:rsidR="008D65F5" w:rsidRPr="00FC467E">
        <w:t xml:space="preserve"> </w:t>
      </w:r>
    </w:p>
    <w:p w:rsidR="008D65F5" w:rsidRPr="00626448" w:rsidRDefault="008D65F5" w:rsidP="008D65F5">
      <w:pPr>
        <w:spacing w:before="0"/>
        <w:ind w:left="1077"/>
        <w:rPr>
          <w:i/>
        </w:rPr>
      </w:pPr>
    </w:p>
    <w:p w:rsidR="00D76C3C" w:rsidRPr="00626448" w:rsidRDefault="00D76C3C" w:rsidP="004925FF">
      <w:pPr>
        <w:pStyle w:val="ListParagraph"/>
        <w:numPr>
          <w:ilvl w:val="0"/>
          <w:numId w:val="3"/>
        </w:numPr>
        <w:spacing w:before="0"/>
        <w:contextualSpacing w:val="0"/>
      </w:pPr>
      <w:r w:rsidRPr="00626448">
        <w:rPr>
          <w:b/>
        </w:rPr>
        <w:t>Use of reports</w:t>
      </w:r>
      <w:r w:rsidR="00DD4C88" w:rsidRPr="00626448">
        <w:rPr>
          <w:b/>
        </w:rPr>
        <w:t xml:space="preserve"> and data</w:t>
      </w:r>
      <w:r w:rsidRPr="00626448">
        <w:rPr>
          <w:b/>
        </w:rPr>
        <w:t xml:space="preserve"> / confidentiality</w:t>
      </w:r>
      <w:r w:rsidR="00DD4C88" w:rsidRPr="00626448">
        <w:rPr>
          <w:b/>
        </w:rPr>
        <w:t xml:space="preserve"> / research opportunities </w:t>
      </w:r>
    </w:p>
    <w:p w:rsidR="001140EF" w:rsidRDefault="001140EF" w:rsidP="004925FF">
      <w:pPr>
        <w:pStyle w:val="ListParagraph"/>
        <w:spacing w:before="0"/>
        <w:ind w:left="1077"/>
        <w:contextualSpacing w:val="0"/>
      </w:pPr>
    </w:p>
    <w:p w:rsidR="004925FF" w:rsidRPr="0091233F" w:rsidRDefault="00665272" w:rsidP="006D01F1">
      <w:pPr>
        <w:pStyle w:val="ListParagraph"/>
        <w:spacing w:before="0"/>
        <w:ind w:left="357"/>
        <w:contextualSpacing w:val="0"/>
      </w:pPr>
      <w:r w:rsidRPr="0091233F">
        <w:t>Information about charities must be protected while balancing the opportunity to use the information collected by the ACNC to better understand the sector.</w:t>
      </w:r>
      <w:r w:rsidR="0077617E" w:rsidRPr="0091233F">
        <w:t xml:space="preserve"> </w:t>
      </w:r>
      <w:r w:rsidR="00506797" w:rsidRPr="0091233F">
        <w:t xml:space="preserve"> </w:t>
      </w:r>
      <w:r w:rsidR="0077617E" w:rsidRPr="0091233F">
        <w:t xml:space="preserve">There must </w:t>
      </w:r>
      <w:r w:rsidR="0047273D">
        <w:t xml:space="preserve">also be commitment to use </w:t>
      </w:r>
      <w:r w:rsidR="0077617E" w:rsidRPr="0091233F">
        <w:t>financial reports etc. across government agencies, and a commitment to work towards harmonization of reporting requirements with the States and Territories.</w:t>
      </w:r>
    </w:p>
    <w:p w:rsidR="00506797" w:rsidRPr="0091233F" w:rsidRDefault="00506797" w:rsidP="004925FF">
      <w:pPr>
        <w:pStyle w:val="ListParagraph"/>
        <w:spacing w:before="0"/>
        <w:ind w:left="1077"/>
        <w:contextualSpacing w:val="0"/>
      </w:pPr>
    </w:p>
    <w:p w:rsidR="00506797" w:rsidRPr="0091233F" w:rsidRDefault="00506797" w:rsidP="006D01F1">
      <w:pPr>
        <w:pStyle w:val="ListParagraph"/>
        <w:spacing w:before="0" w:after="120"/>
        <w:ind w:left="357"/>
        <w:contextualSpacing w:val="0"/>
        <w:rPr>
          <w:b/>
        </w:rPr>
      </w:pPr>
      <w:r w:rsidRPr="0091233F">
        <w:rPr>
          <w:b/>
        </w:rPr>
        <w:t>Recommendations</w:t>
      </w:r>
    </w:p>
    <w:p w:rsidR="00506797" w:rsidRPr="0091233F" w:rsidRDefault="00506797" w:rsidP="006E11AD">
      <w:pPr>
        <w:pStyle w:val="ListParagraph"/>
        <w:numPr>
          <w:ilvl w:val="0"/>
          <w:numId w:val="33"/>
        </w:numPr>
        <w:spacing w:before="0" w:after="120"/>
        <w:contextualSpacing w:val="0"/>
      </w:pPr>
      <w:r w:rsidRPr="0091233F">
        <w:t xml:space="preserve">Appropriate levels of confidentiality must be in place to ensure organisations and individuals are able to provide information </w:t>
      </w:r>
      <w:r w:rsidR="00B52F5E">
        <w:t xml:space="preserve">to the ACNC </w:t>
      </w:r>
      <w:r w:rsidRPr="0091233F">
        <w:t xml:space="preserve">with minimal risk.  </w:t>
      </w:r>
    </w:p>
    <w:p w:rsidR="00506797" w:rsidRPr="0091233F" w:rsidRDefault="00506797" w:rsidP="006E11AD">
      <w:pPr>
        <w:pStyle w:val="ListParagraph"/>
        <w:numPr>
          <w:ilvl w:val="0"/>
          <w:numId w:val="33"/>
        </w:numPr>
        <w:spacing w:before="0" w:after="120"/>
        <w:contextualSpacing w:val="0"/>
      </w:pPr>
      <w:r w:rsidRPr="0091233F">
        <w:t xml:space="preserve">De-identified information collected by the ACNC should be readily available to legitimate researchers and others seeking to use the information to provide a better understanding of the Australian not-for-profit sector. </w:t>
      </w:r>
    </w:p>
    <w:p w:rsidR="00506797" w:rsidRPr="0091233F" w:rsidRDefault="0091233F" w:rsidP="006E11AD">
      <w:pPr>
        <w:pStyle w:val="ListParagraph"/>
        <w:numPr>
          <w:ilvl w:val="0"/>
          <w:numId w:val="33"/>
        </w:numPr>
        <w:spacing w:before="0" w:after="120"/>
        <w:contextualSpacing w:val="0"/>
      </w:pPr>
      <w:r w:rsidRPr="0091233F">
        <w:t>Other government and regulatory agencies should be encouraged to draw on the reports and information collected by the ACNC subject to appropriate approvals from both the ACNC and the NFPs involved.</w:t>
      </w:r>
    </w:p>
    <w:p w:rsidR="0077617E" w:rsidRPr="001729D5" w:rsidRDefault="0077617E" w:rsidP="001729D5">
      <w:pPr>
        <w:spacing w:before="0"/>
        <w:ind w:left="0"/>
        <w:rPr>
          <w:i/>
        </w:rPr>
      </w:pPr>
    </w:p>
    <w:p w:rsidR="00D76C3C" w:rsidRPr="00626448" w:rsidRDefault="00D76C3C" w:rsidP="006D01F1">
      <w:pPr>
        <w:pStyle w:val="ListParagraph"/>
        <w:numPr>
          <w:ilvl w:val="0"/>
          <w:numId w:val="3"/>
        </w:numPr>
        <w:spacing w:before="0" w:after="120"/>
        <w:ind w:left="714" w:hanging="357"/>
        <w:contextualSpacing w:val="0"/>
        <w:rPr>
          <w:b/>
        </w:rPr>
      </w:pPr>
      <w:r w:rsidRPr="00626448">
        <w:rPr>
          <w:b/>
        </w:rPr>
        <w:t>Proportionality</w:t>
      </w:r>
      <w:r w:rsidR="00DD4C88" w:rsidRPr="00626448">
        <w:rPr>
          <w:b/>
        </w:rPr>
        <w:t xml:space="preserve"> </w:t>
      </w:r>
      <w:r w:rsidR="00BE1BE6">
        <w:rPr>
          <w:b/>
        </w:rPr>
        <w:t xml:space="preserve">and flexibility </w:t>
      </w:r>
      <w:r w:rsidR="00DD4C88" w:rsidRPr="00626448">
        <w:rPr>
          <w:b/>
        </w:rPr>
        <w:t>– size and requirements</w:t>
      </w:r>
    </w:p>
    <w:p w:rsidR="00BE1BE6" w:rsidRPr="00BE1BE6" w:rsidRDefault="0061207C" w:rsidP="006D01F1">
      <w:pPr>
        <w:pStyle w:val="ListParagraph"/>
        <w:spacing w:before="0"/>
        <w:ind w:left="357"/>
        <w:contextualSpacing w:val="0"/>
      </w:pPr>
      <w:r w:rsidRPr="00BE1BE6">
        <w:t xml:space="preserve">Proportionality of </w:t>
      </w:r>
      <w:proofErr w:type="gramStart"/>
      <w:r w:rsidRPr="00BE1BE6">
        <w:t>reporting,</w:t>
      </w:r>
      <w:proofErr w:type="gramEnd"/>
      <w:r w:rsidRPr="00BE1BE6">
        <w:t xml:space="preserve"> based on thresholds and size of organisations </w:t>
      </w:r>
      <w:r w:rsidR="00974869" w:rsidRPr="00BE1BE6">
        <w:t>is welcome as outlined in the ACNC paper</w:t>
      </w:r>
      <w:r w:rsidR="0047273D" w:rsidRPr="00BE1BE6">
        <w:t xml:space="preserve"> although there is scope to further explore the thresholds for smaller and larger not-</w:t>
      </w:r>
      <w:r w:rsidR="001B35F3">
        <w:t>for-profit</w:t>
      </w:r>
      <w:r w:rsidR="0047273D" w:rsidRPr="00BE1BE6">
        <w:t xml:space="preserve"> organisations.  </w:t>
      </w:r>
    </w:p>
    <w:p w:rsidR="00BE1BE6" w:rsidRPr="00BE1BE6" w:rsidRDefault="00BE1BE6" w:rsidP="006D01F1">
      <w:pPr>
        <w:pStyle w:val="ListParagraph"/>
        <w:spacing w:before="0"/>
        <w:ind w:left="357"/>
        <w:contextualSpacing w:val="0"/>
      </w:pPr>
    </w:p>
    <w:p w:rsidR="0047273D" w:rsidRPr="00BE1BE6" w:rsidRDefault="0047273D" w:rsidP="006D01F1">
      <w:pPr>
        <w:pStyle w:val="ListParagraph"/>
        <w:spacing w:before="0"/>
        <w:ind w:left="357"/>
        <w:contextualSpacing w:val="0"/>
      </w:pPr>
      <w:r w:rsidRPr="00BE1BE6">
        <w:t>Flexibility in reporting requirements is also a critical aspect of enabling appropriate levels of reporting relative to potential risk.</w:t>
      </w:r>
    </w:p>
    <w:p w:rsidR="002B0229" w:rsidRDefault="002B0229">
      <w:r>
        <w:br w:type="page"/>
      </w:r>
    </w:p>
    <w:p w:rsidR="0047273D" w:rsidRDefault="0047273D" w:rsidP="006D01F1">
      <w:pPr>
        <w:pStyle w:val="ListParagraph"/>
        <w:spacing w:before="0"/>
        <w:ind w:left="357"/>
        <w:contextualSpacing w:val="0"/>
      </w:pPr>
    </w:p>
    <w:p w:rsidR="0047273D" w:rsidRPr="0091233F" w:rsidRDefault="0047273D" w:rsidP="006D01F1">
      <w:pPr>
        <w:pStyle w:val="ListParagraph"/>
        <w:spacing w:before="0" w:after="120"/>
        <w:ind w:left="357"/>
        <w:contextualSpacing w:val="0"/>
        <w:rPr>
          <w:b/>
        </w:rPr>
      </w:pPr>
      <w:r w:rsidRPr="0091233F">
        <w:rPr>
          <w:b/>
        </w:rPr>
        <w:t>Recommendations</w:t>
      </w:r>
    </w:p>
    <w:p w:rsidR="009F11A2" w:rsidRPr="00BE1BE6" w:rsidRDefault="00BE1BE6" w:rsidP="006E11AD">
      <w:pPr>
        <w:pStyle w:val="ListParagraph"/>
        <w:numPr>
          <w:ilvl w:val="0"/>
          <w:numId w:val="33"/>
        </w:numPr>
        <w:spacing w:before="0" w:after="120"/>
        <w:contextualSpacing w:val="0"/>
      </w:pPr>
      <w:r w:rsidRPr="00BE1BE6">
        <w:t xml:space="preserve">Threshold income of not-for-profit organisations that impact on levels of reporting should initially be set at $2 million for larger organisations, and $500,000 for smaller organisations.  </w:t>
      </w:r>
      <w:r w:rsidR="002B0229">
        <w:t>Organisations with income b</w:t>
      </w:r>
      <w:r w:rsidRPr="00BE1BE6">
        <w:t>elow $500,000 should require very minimal reporting.</w:t>
      </w:r>
    </w:p>
    <w:p w:rsidR="00096F16" w:rsidRPr="00BE1BE6" w:rsidRDefault="006E11AD" w:rsidP="006E11AD">
      <w:pPr>
        <w:pStyle w:val="ListParagraph"/>
        <w:numPr>
          <w:ilvl w:val="0"/>
          <w:numId w:val="33"/>
        </w:numPr>
        <w:spacing w:before="0" w:after="120"/>
        <w:contextualSpacing w:val="0"/>
      </w:pPr>
      <w:r>
        <w:t xml:space="preserve">The </w:t>
      </w:r>
      <w:r w:rsidR="002B0229">
        <w:t xml:space="preserve">ACNC </w:t>
      </w:r>
      <w:r w:rsidRPr="00BE1BE6">
        <w:t xml:space="preserve">Commissioner </w:t>
      </w:r>
      <w:r>
        <w:t xml:space="preserve">should have the power </w:t>
      </w:r>
      <w:r w:rsidRPr="00BE1BE6">
        <w:t xml:space="preserve">to change any threshold amounts based on </w:t>
      </w:r>
      <w:r w:rsidR="00B52F5E">
        <w:t xml:space="preserve">consultation, </w:t>
      </w:r>
      <w:r w:rsidRPr="00BE1BE6">
        <w:t>reviews and further development of reporting practices.</w:t>
      </w:r>
      <w:r w:rsidR="00096F16" w:rsidRPr="00BE1BE6">
        <w:t xml:space="preserve"> </w:t>
      </w:r>
    </w:p>
    <w:p w:rsidR="00096F16" w:rsidRPr="00BE1BE6" w:rsidRDefault="0047273D" w:rsidP="006E11AD">
      <w:pPr>
        <w:pStyle w:val="ListParagraph"/>
        <w:numPr>
          <w:ilvl w:val="0"/>
          <w:numId w:val="33"/>
        </w:numPr>
        <w:spacing w:before="0" w:after="120"/>
        <w:contextualSpacing w:val="0"/>
      </w:pPr>
      <w:r w:rsidRPr="00BE1BE6">
        <w:t>Increased c</w:t>
      </w:r>
      <w:r w:rsidR="00096F16" w:rsidRPr="00BE1BE6">
        <w:t xml:space="preserve">onsistency with reporting requirements by State and Territories </w:t>
      </w:r>
      <w:r w:rsidRPr="00BE1BE6">
        <w:t>should be a priority in developing the ACNC operations.  A harmonised national regulatory framework should be the goal.</w:t>
      </w:r>
      <w:r w:rsidR="00096F16" w:rsidRPr="00BE1BE6">
        <w:t xml:space="preserve"> </w:t>
      </w:r>
    </w:p>
    <w:p w:rsidR="00096F16" w:rsidRPr="00BE1BE6" w:rsidRDefault="009F11A2" w:rsidP="006E11AD">
      <w:pPr>
        <w:pStyle w:val="ListParagraph"/>
        <w:numPr>
          <w:ilvl w:val="0"/>
          <w:numId w:val="33"/>
        </w:numPr>
        <w:spacing w:before="0" w:after="120"/>
        <w:contextualSpacing w:val="0"/>
      </w:pPr>
      <w:r w:rsidRPr="00BE1BE6">
        <w:t>T</w:t>
      </w:r>
      <w:r w:rsidR="00096F16" w:rsidRPr="00BE1BE6">
        <w:t xml:space="preserve">he ACNC should </w:t>
      </w:r>
      <w:r w:rsidR="00BE1BE6" w:rsidRPr="00BE1BE6">
        <w:t xml:space="preserve">also </w:t>
      </w:r>
      <w:r w:rsidR="00096F16" w:rsidRPr="00BE1BE6">
        <w:t xml:space="preserve">have the power to develop a more flexible framework for reporting in conjunction with the </w:t>
      </w:r>
      <w:r w:rsidR="00BE1BE6" w:rsidRPr="00BE1BE6">
        <w:t xml:space="preserve">not-for-profit </w:t>
      </w:r>
      <w:r w:rsidR="00096F16" w:rsidRPr="00BE1BE6">
        <w:t>sector</w:t>
      </w:r>
      <w:r w:rsidR="00BE1BE6" w:rsidRPr="00BE1BE6">
        <w:t xml:space="preserve"> and the ACNC Advisory Board</w:t>
      </w:r>
      <w:r w:rsidR="00096F16" w:rsidRPr="00BE1BE6">
        <w:t xml:space="preserve">. </w:t>
      </w:r>
    </w:p>
    <w:p w:rsidR="00096F16" w:rsidRPr="00BE1BE6" w:rsidRDefault="009F11A2" w:rsidP="006E11AD">
      <w:pPr>
        <w:pStyle w:val="ListParagraph"/>
        <w:numPr>
          <w:ilvl w:val="0"/>
          <w:numId w:val="33"/>
        </w:numPr>
        <w:spacing w:before="0" w:after="120"/>
        <w:contextualSpacing w:val="0"/>
      </w:pPr>
      <w:r w:rsidRPr="00BE1BE6">
        <w:t>The</w:t>
      </w:r>
      <w:r w:rsidR="002B0229">
        <w:t xml:space="preserve"> ACNC </w:t>
      </w:r>
      <w:r w:rsidRPr="00BE1BE6">
        <w:t>Commissioner should have the discretion to lessen or increase</w:t>
      </w:r>
      <w:r w:rsidR="00096F16" w:rsidRPr="00BE1BE6">
        <w:t xml:space="preserve"> the reporting </w:t>
      </w:r>
      <w:r w:rsidR="00012B1A">
        <w:t>requirements of</w:t>
      </w:r>
      <w:r w:rsidR="00974869" w:rsidRPr="00BE1BE6">
        <w:t xml:space="preserve"> a</w:t>
      </w:r>
      <w:r w:rsidR="00BE1BE6" w:rsidRPr="00BE1BE6">
        <w:t xml:space="preserve"> specific</w:t>
      </w:r>
      <w:r w:rsidR="00974869" w:rsidRPr="00BE1BE6">
        <w:t xml:space="preserve"> organisation with good reason. </w:t>
      </w:r>
    </w:p>
    <w:p w:rsidR="00974869" w:rsidRPr="00BE1BE6" w:rsidRDefault="00974869" w:rsidP="00096F16">
      <w:pPr>
        <w:pStyle w:val="ListParagraph"/>
        <w:spacing w:before="0"/>
        <w:ind w:left="1077"/>
        <w:contextualSpacing w:val="0"/>
      </w:pPr>
    </w:p>
    <w:p w:rsidR="004925FF" w:rsidRPr="00BE1BE6" w:rsidRDefault="004925FF" w:rsidP="004925FF">
      <w:pPr>
        <w:pStyle w:val="ListParagraph"/>
        <w:spacing w:before="0"/>
        <w:ind w:left="1077"/>
        <w:contextualSpacing w:val="0"/>
      </w:pPr>
    </w:p>
    <w:p w:rsidR="00D76C3C" w:rsidRPr="00BE1BE6" w:rsidRDefault="00D76C3C" w:rsidP="004925FF">
      <w:pPr>
        <w:pStyle w:val="ListParagraph"/>
        <w:numPr>
          <w:ilvl w:val="0"/>
          <w:numId w:val="3"/>
        </w:numPr>
        <w:spacing w:before="0"/>
        <w:contextualSpacing w:val="0"/>
        <w:rPr>
          <w:b/>
        </w:rPr>
      </w:pPr>
      <w:r w:rsidRPr="00BE1BE6">
        <w:rPr>
          <w:b/>
        </w:rPr>
        <w:t>Enforcement</w:t>
      </w:r>
      <w:r w:rsidR="00DD4C88" w:rsidRPr="00BE1BE6">
        <w:rPr>
          <w:b/>
        </w:rPr>
        <w:t xml:space="preserve"> – stepped approach</w:t>
      </w:r>
    </w:p>
    <w:p w:rsidR="00B76601" w:rsidRDefault="00B76601" w:rsidP="00B76601">
      <w:pPr>
        <w:pStyle w:val="ListParagraph"/>
        <w:spacing w:before="0"/>
        <w:ind w:left="1077"/>
      </w:pPr>
    </w:p>
    <w:p w:rsidR="00B76601" w:rsidRDefault="00B76601" w:rsidP="006D01F1">
      <w:pPr>
        <w:pStyle w:val="ListParagraph"/>
        <w:spacing w:before="0"/>
        <w:ind w:left="357"/>
      </w:pPr>
      <w:r>
        <w:t>Enforcement should only occur after both education and investigation have failed to address the non-compliance issue within a not-for-profit organisation.</w:t>
      </w:r>
    </w:p>
    <w:p w:rsidR="00B76601" w:rsidRDefault="00B76601" w:rsidP="006D01F1">
      <w:pPr>
        <w:pStyle w:val="ListParagraph"/>
        <w:spacing w:before="0"/>
        <w:ind w:left="357"/>
      </w:pPr>
    </w:p>
    <w:p w:rsidR="00B76601" w:rsidRPr="00BE1BE6" w:rsidRDefault="00B76601" w:rsidP="006D01F1">
      <w:pPr>
        <w:pStyle w:val="ListParagraph"/>
        <w:spacing w:before="0"/>
        <w:ind w:left="357"/>
      </w:pPr>
      <w:r>
        <w:t>As with proportionality in reporting requirements it is fundamental that the enforcement approach is commensurate with the size and scope of any non-compliant activity.  The vast majority of non-compliance is likely to reflect a lack of knowledge or capacity rather than a deliberate attempt to mislead or avoid.</w:t>
      </w:r>
    </w:p>
    <w:p w:rsidR="00B76601" w:rsidRDefault="00B76601" w:rsidP="006D01F1">
      <w:pPr>
        <w:spacing w:before="0"/>
      </w:pPr>
    </w:p>
    <w:p w:rsidR="00B76601" w:rsidRPr="0091233F" w:rsidRDefault="00B76601" w:rsidP="006D01F1">
      <w:pPr>
        <w:pStyle w:val="ListParagraph"/>
        <w:spacing w:before="0" w:after="120"/>
        <w:ind w:left="357"/>
        <w:contextualSpacing w:val="0"/>
        <w:rPr>
          <w:b/>
        </w:rPr>
      </w:pPr>
      <w:r w:rsidRPr="0091233F">
        <w:rPr>
          <w:b/>
        </w:rPr>
        <w:t>Recommendations</w:t>
      </w:r>
    </w:p>
    <w:p w:rsidR="00B76601" w:rsidRDefault="00B76601" w:rsidP="006E11AD">
      <w:pPr>
        <w:pStyle w:val="ListParagraph"/>
        <w:numPr>
          <w:ilvl w:val="0"/>
          <w:numId w:val="33"/>
        </w:numPr>
        <w:spacing w:before="0" w:after="120"/>
        <w:contextualSpacing w:val="0"/>
      </w:pPr>
      <w:r>
        <w:t>Enforcement should be a last resort following education, investigation and deliberate attempts to address non-compliance through negotiated resolution.</w:t>
      </w:r>
    </w:p>
    <w:p w:rsidR="00BE1BE6" w:rsidRDefault="00B76601" w:rsidP="006E11AD">
      <w:pPr>
        <w:pStyle w:val="ListParagraph"/>
        <w:numPr>
          <w:ilvl w:val="0"/>
          <w:numId w:val="33"/>
        </w:numPr>
        <w:spacing w:before="0" w:after="120"/>
        <w:contextualSpacing w:val="0"/>
      </w:pPr>
      <w:r>
        <w:t xml:space="preserve">CCA </w:t>
      </w:r>
      <w:r w:rsidR="00BE1BE6">
        <w:t>support</w:t>
      </w:r>
      <w:r>
        <w:t>s</w:t>
      </w:r>
      <w:r w:rsidR="00BE1BE6">
        <w:t xml:space="preserve"> </w:t>
      </w:r>
      <w:r w:rsidR="0061207C" w:rsidRPr="00BE1BE6">
        <w:t>‘graduated’</w:t>
      </w:r>
      <w:r w:rsidR="0061207C" w:rsidRPr="00B76601">
        <w:rPr>
          <w:i/>
        </w:rPr>
        <w:t xml:space="preserve"> </w:t>
      </w:r>
      <w:r w:rsidRPr="00B76601">
        <w:t xml:space="preserve">and </w:t>
      </w:r>
      <w:r>
        <w:t>‘</w:t>
      </w:r>
      <w:r w:rsidRPr="00B76601">
        <w:t>proportional</w:t>
      </w:r>
      <w:r>
        <w:t>’</w:t>
      </w:r>
      <w:r w:rsidRPr="00B76601">
        <w:t xml:space="preserve"> </w:t>
      </w:r>
      <w:r w:rsidR="0061207C" w:rsidRPr="00BE1BE6">
        <w:t>enforcement</w:t>
      </w:r>
      <w:r w:rsidR="00BE1BE6">
        <w:t>,</w:t>
      </w:r>
      <w:r w:rsidR="002B0229">
        <w:t xml:space="preserve"> </w:t>
      </w:r>
      <w:r w:rsidR="0061207C" w:rsidRPr="00BE1BE6">
        <w:t xml:space="preserve">with clear guidance for organisations about their </w:t>
      </w:r>
      <w:r>
        <w:t xml:space="preserve">obligations, </w:t>
      </w:r>
      <w:r w:rsidR="0061207C" w:rsidRPr="00BE1BE6">
        <w:t xml:space="preserve">right of appeal and responsibilities. </w:t>
      </w:r>
    </w:p>
    <w:p w:rsidR="00C85FE8" w:rsidRPr="00BE1BE6" w:rsidRDefault="00297B22" w:rsidP="006E11AD">
      <w:pPr>
        <w:pStyle w:val="ListParagraph"/>
        <w:numPr>
          <w:ilvl w:val="0"/>
          <w:numId w:val="33"/>
        </w:numPr>
        <w:spacing w:before="0" w:after="120"/>
        <w:contextualSpacing w:val="0"/>
      </w:pPr>
      <w:r>
        <w:t xml:space="preserve">The </w:t>
      </w:r>
      <w:r w:rsidR="00B76601">
        <w:t xml:space="preserve">ACNC must </w:t>
      </w:r>
      <w:r w:rsidR="0061207C" w:rsidRPr="00BE1BE6">
        <w:t xml:space="preserve">be able to protect </w:t>
      </w:r>
      <w:r w:rsidR="00B76601">
        <w:t xml:space="preserve">not-for-profit </w:t>
      </w:r>
      <w:r w:rsidR="0061207C" w:rsidRPr="00BE1BE6">
        <w:t>assets in the case of deregistration.</w:t>
      </w:r>
    </w:p>
    <w:p w:rsidR="000B734E" w:rsidRPr="00626448" w:rsidRDefault="000B734E" w:rsidP="00012B1A">
      <w:pPr>
        <w:spacing w:before="0"/>
        <w:ind w:left="0"/>
        <w:rPr>
          <w:i/>
        </w:rPr>
      </w:pPr>
    </w:p>
    <w:p w:rsidR="00D76C3C" w:rsidRPr="00626448" w:rsidRDefault="00D76C3C" w:rsidP="004925FF">
      <w:pPr>
        <w:pStyle w:val="ListParagraph"/>
        <w:numPr>
          <w:ilvl w:val="0"/>
          <w:numId w:val="3"/>
        </w:numPr>
        <w:spacing w:before="0"/>
        <w:contextualSpacing w:val="0"/>
        <w:rPr>
          <w:b/>
        </w:rPr>
      </w:pPr>
      <w:r w:rsidRPr="00626448">
        <w:rPr>
          <w:b/>
        </w:rPr>
        <w:t>Education</w:t>
      </w:r>
      <w:r w:rsidR="00DD4C88" w:rsidRPr="00626448">
        <w:rPr>
          <w:b/>
        </w:rPr>
        <w:t xml:space="preserve"> – to maximize compliance</w:t>
      </w:r>
    </w:p>
    <w:p w:rsidR="00B76601" w:rsidRDefault="00B76601" w:rsidP="004925FF">
      <w:pPr>
        <w:pStyle w:val="ListParagraph"/>
        <w:spacing w:before="0"/>
        <w:ind w:left="1077"/>
        <w:contextualSpacing w:val="0"/>
        <w:rPr>
          <w:i/>
        </w:rPr>
      </w:pPr>
    </w:p>
    <w:p w:rsidR="00E54230" w:rsidRPr="00B76601" w:rsidRDefault="00B76601" w:rsidP="006D01F1">
      <w:pPr>
        <w:pStyle w:val="ListParagraph"/>
        <w:spacing w:before="0"/>
        <w:ind w:left="357"/>
      </w:pPr>
      <w:r w:rsidRPr="00B76601">
        <w:t>As noted above, education is a critical component in the activity of any regulator.  It is the primary approach to reducing non-compliance and ensuring all relevant organisations are aware of their responsibilities and how to fulfil them.  To this end it is very important that the ACNC is adequately resourced to ensure it can fulfil the education obligations of an effective regulator for the not-for-profit sector.  The ACNC should also be encouraged to draw on the expertise, knowledge and networks of other organisations working with the not-for-profit sector to enhance reach and capacity.</w:t>
      </w:r>
    </w:p>
    <w:p w:rsidR="00B76601" w:rsidRDefault="00B76601" w:rsidP="006D01F1">
      <w:pPr>
        <w:pStyle w:val="ListParagraph"/>
        <w:spacing w:before="0"/>
        <w:ind w:left="357"/>
      </w:pPr>
    </w:p>
    <w:p w:rsidR="00B76601" w:rsidRPr="006D01F1" w:rsidRDefault="00B76601" w:rsidP="006D01F1">
      <w:pPr>
        <w:pStyle w:val="ListParagraph"/>
        <w:spacing w:before="0" w:after="120"/>
        <w:ind w:left="357"/>
        <w:contextualSpacing w:val="0"/>
        <w:rPr>
          <w:b/>
        </w:rPr>
      </w:pPr>
      <w:r w:rsidRPr="006D01F1">
        <w:rPr>
          <w:b/>
        </w:rPr>
        <w:t>Recommendations</w:t>
      </w:r>
    </w:p>
    <w:p w:rsidR="00D47675" w:rsidRDefault="00B76601" w:rsidP="006E11AD">
      <w:pPr>
        <w:pStyle w:val="ListParagraph"/>
        <w:numPr>
          <w:ilvl w:val="0"/>
          <w:numId w:val="33"/>
        </w:numPr>
        <w:spacing w:before="0" w:after="120"/>
        <w:contextualSpacing w:val="0"/>
      </w:pPr>
      <w:r>
        <w:t xml:space="preserve">The ACNC must be adequately resourced to enable it to fulfil </w:t>
      </w:r>
      <w:r w:rsidR="00D47675">
        <w:t>an effective educative role, thereby reducing non-compliance and enhancing reporting practices</w:t>
      </w:r>
      <w:r w:rsidR="00064D71">
        <w:t>.</w:t>
      </w:r>
    </w:p>
    <w:p w:rsidR="00D47675" w:rsidRDefault="00D47675" w:rsidP="006E11AD">
      <w:pPr>
        <w:pStyle w:val="ListParagraph"/>
        <w:numPr>
          <w:ilvl w:val="0"/>
          <w:numId w:val="33"/>
        </w:numPr>
        <w:spacing w:before="0" w:after="120"/>
        <w:contextualSpacing w:val="0"/>
      </w:pPr>
      <w:r>
        <w:t>The ACNC should be enabled to draw on the expertise and networks of other organisations in fulfilling its educative and information provision role.</w:t>
      </w:r>
    </w:p>
    <w:p w:rsidR="004925FF" w:rsidRPr="00B76601" w:rsidRDefault="004925FF" w:rsidP="004925FF">
      <w:pPr>
        <w:pStyle w:val="ListParagraph"/>
        <w:spacing w:before="0"/>
        <w:ind w:left="1077"/>
        <w:contextualSpacing w:val="0"/>
      </w:pPr>
    </w:p>
    <w:p w:rsidR="00D76C3C" w:rsidRPr="00626448" w:rsidRDefault="00144C39" w:rsidP="004925FF">
      <w:pPr>
        <w:pStyle w:val="ListParagraph"/>
        <w:numPr>
          <w:ilvl w:val="0"/>
          <w:numId w:val="3"/>
        </w:numPr>
        <w:spacing w:before="0"/>
        <w:contextualSpacing w:val="0"/>
        <w:rPr>
          <w:b/>
        </w:rPr>
      </w:pPr>
      <w:r w:rsidRPr="00D47675">
        <w:rPr>
          <w:b/>
        </w:rPr>
        <w:t xml:space="preserve">ACNC Register and Online </w:t>
      </w:r>
      <w:r w:rsidR="00D76C3C" w:rsidRPr="00626448">
        <w:rPr>
          <w:b/>
        </w:rPr>
        <w:t xml:space="preserve">Portal </w:t>
      </w:r>
      <w:r w:rsidR="00DD4C88" w:rsidRPr="00626448">
        <w:rPr>
          <w:b/>
        </w:rPr>
        <w:t>– accessibility etc.</w:t>
      </w:r>
    </w:p>
    <w:p w:rsidR="00144C39" w:rsidRPr="00626448" w:rsidRDefault="00144C39" w:rsidP="004925FF">
      <w:pPr>
        <w:pStyle w:val="ListParagraph"/>
        <w:spacing w:before="0"/>
        <w:ind w:left="1077"/>
        <w:contextualSpacing w:val="0"/>
        <w:rPr>
          <w:i/>
        </w:rPr>
      </w:pPr>
    </w:p>
    <w:p w:rsidR="00144C39" w:rsidRPr="006F5564" w:rsidRDefault="00144C39" w:rsidP="006D01F1">
      <w:pPr>
        <w:pStyle w:val="ListParagraph"/>
        <w:spacing w:before="0"/>
        <w:ind w:left="357"/>
        <w:contextualSpacing w:val="0"/>
      </w:pPr>
      <w:r w:rsidRPr="006F5564">
        <w:t xml:space="preserve">Clause 100-10 </w:t>
      </w:r>
      <w:r w:rsidR="006F5564">
        <w:t xml:space="preserve">provides a comprehensive </w:t>
      </w:r>
      <w:r w:rsidRPr="006F5564">
        <w:t>list</w:t>
      </w:r>
      <w:r w:rsidR="006F5564">
        <w:t xml:space="preserve"> of</w:t>
      </w:r>
      <w:r w:rsidRPr="006F5564">
        <w:t xml:space="preserve"> what the ACNC will maintain </w:t>
      </w:r>
      <w:r w:rsidR="00231163" w:rsidRPr="006F5564">
        <w:t>in its register</w:t>
      </w:r>
      <w:r w:rsidR="006F5564">
        <w:t xml:space="preserve">. </w:t>
      </w:r>
      <w:r w:rsidR="00231163" w:rsidRPr="006F5564">
        <w:t xml:space="preserve"> </w:t>
      </w:r>
      <w:r w:rsidR="00D47675" w:rsidRPr="006F5564">
        <w:t>This listing</w:t>
      </w:r>
      <w:r w:rsidR="00231163" w:rsidRPr="006F5564">
        <w:t xml:space="preserve"> could be improved by adding the p</w:t>
      </w:r>
      <w:r w:rsidR="00D47675" w:rsidRPr="006F5564">
        <w:t>urpose of the entity and address</w:t>
      </w:r>
      <w:r w:rsidR="00231163" w:rsidRPr="006F5564">
        <w:t xml:space="preserve"> to provide more transpa</w:t>
      </w:r>
      <w:r w:rsidR="00012B1A">
        <w:t>rency to</w:t>
      </w:r>
      <w:r w:rsidR="00231163" w:rsidRPr="006F5564">
        <w:t xml:space="preserve"> donors and volunteers so they can quickly determine the mission of an organisation and how to contact them. </w:t>
      </w:r>
    </w:p>
    <w:p w:rsidR="00231163" w:rsidRPr="006F5564" w:rsidRDefault="00231163" w:rsidP="006D01F1">
      <w:pPr>
        <w:pStyle w:val="ListParagraph"/>
        <w:spacing w:before="0"/>
        <w:ind w:left="357"/>
        <w:contextualSpacing w:val="0"/>
      </w:pPr>
    </w:p>
    <w:p w:rsidR="00231163" w:rsidRPr="006F5564" w:rsidRDefault="000459D0" w:rsidP="006D01F1">
      <w:pPr>
        <w:pStyle w:val="ListParagraph"/>
        <w:spacing w:before="0"/>
        <w:ind w:left="357"/>
        <w:contextualSpacing w:val="0"/>
      </w:pPr>
      <w:r w:rsidRPr="006F5564">
        <w:t xml:space="preserve">Organisations </w:t>
      </w:r>
      <w:r w:rsidR="00D47675" w:rsidRPr="006F5564">
        <w:t>must</w:t>
      </w:r>
      <w:r w:rsidRPr="006F5564">
        <w:t xml:space="preserve"> have a right to protect the privacy of their donors</w:t>
      </w:r>
      <w:r w:rsidR="00D47675" w:rsidRPr="006F5564">
        <w:t>.  Some donors</w:t>
      </w:r>
      <w:r w:rsidRPr="006F5564">
        <w:t xml:space="preserve"> may not wish to disclose donations in the interests of restricting publicity. </w:t>
      </w:r>
    </w:p>
    <w:p w:rsidR="000459D0" w:rsidRPr="006F5564" w:rsidRDefault="000459D0" w:rsidP="006D01F1">
      <w:pPr>
        <w:pStyle w:val="ListParagraph"/>
        <w:spacing w:before="0"/>
        <w:ind w:left="357"/>
        <w:contextualSpacing w:val="0"/>
      </w:pPr>
    </w:p>
    <w:p w:rsidR="000459D0" w:rsidRPr="006F5564" w:rsidRDefault="00974869" w:rsidP="006D01F1">
      <w:pPr>
        <w:pStyle w:val="ListParagraph"/>
        <w:spacing w:before="0"/>
        <w:ind w:left="357"/>
        <w:contextualSpacing w:val="0"/>
      </w:pPr>
      <w:r w:rsidRPr="006F5564">
        <w:t xml:space="preserve">The </w:t>
      </w:r>
      <w:r w:rsidR="00D47675" w:rsidRPr="006F5564">
        <w:t xml:space="preserve">ACNC Commissioner should </w:t>
      </w:r>
      <w:r w:rsidRPr="006F5564">
        <w:t>have the power to exclude the provision</w:t>
      </w:r>
      <w:r w:rsidR="000459D0" w:rsidRPr="006F5564">
        <w:t xml:space="preserve"> of </w:t>
      </w:r>
      <w:r w:rsidRPr="006F5564">
        <w:t>information</w:t>
      </w:r>
      <w:r w:rsidR="000459D0" w:rsidRPr="006F5564">
        <w:t xml:space="preserve"> in the public </w:t>
      </w:r>
      <w:r w:rsidRPr="006F5564">
        <w:t>interest</w:t>
      </w:r>
      <w:r w:rsidR="000459D0" w:rsidRPr="006F5564">
        <w:t xml:space="preserve"> if there is risk of harm to </w:t>
      </w:r>
      <w:r w:rsidRPr="006F5564">
        <w:t>individuals</w:t>
      </w:r>
      <w:r w:rsidR="000459D0" w:rsidRPr="006F5564">
        <w:t xml:space="preserve">, risk of harm to the entity or risk of </w:t>
      </w:r>
      <w:r w:rsidRPr="006F5564">
        <w:t>confusing</w:t>
      </w:r>
      <w:r w:rsidR="000459D0" w:rsidRPr="006F5564">
        <w:t xml:space="preserve"> or misleading the public. </w:t>
      </w:r>
      <w:r w:rsidR="00D47675" w:rsidRPr="006F5564">
        <w:t xml:space="preserve"> </w:t>
      </w:r>
      <w:r w:rsidR="000459D0" w:rsidRPr="006F5564">
        <w:t xml:space="preserve">There may be other instances where the Commissioner determines </w:t>
      </w:r>
      <w:r w:rsidRPr="006F5564">
        <w:t>that</w:t>
      </w:r>
      <w:r w:rsidR="000459D0" w:rsidRPr="006F5564">
        <w:t xml:space="preserve"> the </w:t>
      </w:r>
      <w:r w:rsidRPr="006F5564">
        <w:t xml:space="preserve">publication </w:t>
      </w:r>
      <w:r w:rsidR="000459D0" w:rsidRPr="006F5564">
        <w:t xml:space="preserve">of information is not in the best interests of the public or the </w:t>
      </w:r>
      <w:r w:rsidRPr="006F5564">
        <w:t>organisations</w:t>
      </w:r>
      <w:r w:rsidR="000459D0" w:rsidRPr="006F5564">
        <w:t xml:space="preserve">. </w:t>
      </w:r>
    </w:p>
    <w:p w:rsidR="000459D0" w:rsidRPr="006F5564" w:rsidRDefault="000459D0" w:rsidP="006D01F1">
      <w:pPr>
        <w:pStyle w:val="ListParagraph"/>
        <w:spacing w:before="0"/>
        <w:ind w:left="357"/>
        <w:contextualSpacing w:val="0"/>
      </w:pPr>
    </w:p>
    <w:p w:rsidR="004925FF" w:rsidRPr="006F5564" w:rsidRDefault="00231163" w:rsidP="006D01F1">
      <w:pPr>
        <w:pStyle w:val="ListParagraph"/>
        <w:spacing w:before="0"/>
        <w:ind w:left="357"/>
        <w:contextualSpacing w:val="0"/>
      </w:pPr>
      <w:r w:rsidRPr="006F5564">
        <w:t>T</w:t>
      </w:r>
      <w:r w:rsidR="004925FF" w:rsidRPr="006F5564">
        <w:t>he</w:t>
      </w:r>
      <w:r w:rsidRPr="006F5564">
        <w:t xml:space="preserve"> online</w:t>
      </w:r>
      <w:r w:rsidR="004925FF" w:rsidRPr="006F5564">
        <w:t xml:space="preserve"> portal </w:t>
      </w:r>
      <w:r w:rsidRPr="006F5564">
        <w:t>must have</w:t>
      </w:r>
      <w:r w:rsidR="004925FF" w:rsidRPr="006F5564">
        <w:t xml:space="preserve"> scope to grow</w:t>
      </w:r>
      <w:r w:rsidR="00C3541D" w:rsidRPr="006F5564">
        <w:t>, and meet accessibility requirements.</w:t>
      </w:r>
    </w:p>
    <w:p w:rsidR="00A47AD7" w:rsidRPr="006F5564" w:rsidRDefault="00A47AD7" w:rsidP="006D01F1">
      <w:pPr>
        <w:pStyle w:val="ListParagraph"/>
        <w:spacing w:before="0"/>
        <w:ind w:left="357"/>
        <w:contextualSpacing w:val="0"/>
      </w:pPr>
    </w:p>
    <w:p w:rsidR="00D47675" w:rsidRPr="006F5564" w:rsidRDefault="00D47675" w:rsidP="006D01F1">
      <w:pPr>
        <w:pStyle w:val="ListParagraph"/>
        <w:spacing w:before="0"/>
        <w:ind w:left="357"/>
      </w:pPr>
      <w:r w:rsidRPr="006F5564">
        <w:t>The superficial league table approach to producing information should be avoided.  For instance, m</w:t>
      </w:r>
      <w:r w:rsidR="00A47AD7" w:rsidRPr="006F5564">
        <w:t>aking comparisons on issues like fundraising costs could be misinterpreted</w:t>
      </w:r>
      <w:r w:rsidRPr="006F5564">
        <w:t>.  A</w:t>
      </w:r>
      <w:r w:rsidR="00A47AD7" w:rsidRPr="006F5564">
        <w:t>n organisation</w:t>
      </w:r>
      <w:r w:rsidR="00012B1A">
        <w:t xml:space="preserve"> with a higher fundraising cost</w:t>
      </w:r>
      <w:r w:rsidR="00A47AD7" w:rsidRPr="006F5564">
        <w:t xml:space="preserve"> may be delivering a different service or benefit th</w:t>
      </w:r>
      <w:r w:rsidRPr="006F5564">
        <w:t>at attracts higher costs, may be establishing initial fundraising data bases and capacity, may be making a significant investment into program evaluation and effectiveness, or building staffing capacity or infrastructure support etc. The sector needs to be encouraged to invest in enhancing capacity and effectiveness, both of which often require diverting funds from direct service provision.  The way information is presented should not disadvantage a</w:t>
      </w:r>
      <w:r w:rsidR="001729D5" w:rsidRPr="006F5564">
        <w:t xml:space="preserve"> not-for-profit</w:t>
      </w:r>
      <w:r w:rsidRPr="006F5564">
        <w:t xml:space="preserve"> that is seeking to </w:t>
      </w:r>
      <w:r w:rsidR="00012B1A">
        <w:t>ensure organisational capacity is maintained or enhanced rather than</w:t>
      </w:r>
      <w:r w:rsidRPr="006F5564">
        <w:t xml:space="preserve"> run down over time.</w:t>
      </w:r>
    </w:p>
    <w:p w:rsidR="001729D5" w:rsidRDefault="001729D5" w:rsidP="006D01F1">
      <w:pPr>
        <w:pStyle w:val="ListParagraph"/>
        <w:spacing w:before="0"/>
        <w:ind w:left="357"/>
        <w:contextualSpacing w:val="0"/>
      </w:pPr>
    </w:p>
    <w:p w:rsidR="001729D5" w:rsidRPr="0091233F" w:rsidRDefault="001729D5" w:rsidP="006D01F1">
      <w:pPr>
        <w:pStyle w:val="ListParagraph"/>
        <w:spacing w:before="0"/>
        <w:ind w:left="357"/>
        <w:contextualSpacing w:val="0"/>
        <w:rPr>
          <w:b/>
        </w:rPr>
      </w:pPr>
      <w:r w:rsidRPr="0091233F">
        <w:rPr>
          <w:b/>
        </w:rPr>
        <w:t>Recommendations</w:t>
      </w:r>
    </w:p>
    <w:p w:rsidR="001729D5" w:rsidRPr="001729D5" w:rsidRDefault="001729D5" w:rsidP="006E11AD">
      <w:pPr>
        <w:pStyle w:val="ListParagraph"/>
        <w:numPr>
          <w:ilvl w:val="0"/>
          <w:numId w:val="33"/>
        </w:numPr>
        <w:contextualSpacing w:val="0"/>
      </w:pPr>
      <w:r w:rsidRPr="001729D5">
        <w:t xml:space="preserve">Organisations must have a right to protect the privacy of their donors.  </w:t>
      </w:r>
    </w:p>
    <w:p w:rsidR="005C23B8" w:rsidRPr="001729D5" w:rsidRDefault="001729D5" w:rsidP="006E11AD">
      <w:pPr>
        <w:pStyle w:val="ListParagraph"/>
        <w:numPr>
          <w:ilvl w:val="0"/>
          <w:numId w:val="33"/>
        </w:numPr>
        <w:contextualSpacing w:val="0"/>
      </w:pPr>
      <w:r w:rsidRPr="001729D5">
        <w:t>The ACNC Commissioner should have the power to exclude the provision of information in the public interest if there is risk of harm to individuals, risk of harm to the entity or risk of confusing or misleading the public.</w:t>
      </w:r>
    </w:p>
    <w:p w:rsidR="001729D5" w:rsidRPr="001729D5" w:rsidRDefault="001729D5" w:rsidP="006E11AD">
      <w:pPr>
        <w:pStyle w:val="ListParagraph"/>
        <w:numPr>
          <w:ilvl w:val="0"/>
          <w:numId w:val="33"/>
        </w:numPr>
        <w:contextualSpacing w:val="0"/>
      </w:pPr>
      <w:r w:rsidRPr="001729D5">
        <w:t xml:space="preserve">The on-line portal needs to be both accessible and able to provide information about the sector that is </w:t>
      </w:r>
      <w:r>
        <w:t xml:space="preserve">accurate, relevant, meaningful and </w:t>
      </w:r>
      <w:r w:rsidRPr="001729D5">
        <w:t>responsive to community and not-for-profit expectations.</w:t>
      </w:r>
    </w:p>
    <w:p w:rsidR="00064D71" w:rsidRDefault="00064D71">
      <w:pPr>
        <w:rPr>
          <w:i/>
        </w:rPr>
      </w:pPr>
      <w:r>
        <w:rPr>
          <w:i/>
        </w:rPr>
        <w:br w:type="page"/>
      </w:r>
    </w:p>
    <w:p w:rsidR="001729D5" w:rsidRPr="00626448" w:rsidRDefault="001729D5" w:rsidP="004925FF">
      <w:pPr>
        <w:pStyle w:val="ListParagraph"/>
        <w:spacing w:before="0"/>
        <w:ind w:left="1077"/>
        <w:contextualSpacing w:val="0"/>
        <w:rPr>
          <w:i/>
        </w:rPr>
      </w:pPr>
    </w:p>
    <w:p w:rsidR="003E455C" w:rsidRPr="00626448" w:rsidRDefault="003E455C" w:rsidP="004925FF">
      <w:pPr>
        <w:pStyle w:val="ListParagraph"/>
        <w:numPr>
          <w:ilvl w:val="0"/>
          <w:numId w:val="3"/>
        </w:numPr>
        <w:spacing w:before="0"/>
        <w:contextualSpacing w:val="0"/>
        <w:rPr>
          <w:b/>
        </w:rPr>
      </w:pPr>
      <w:r w:rsidRPr="00626448">
        <w:rPr>
          <w:b/>
        </w:rPr>
        <w:t>Reporting processes</w:t>
      </w:r>
    </w:p>
    <w:p w:rsidR="006F5564" w:rsidRDefault="006F5564" w:rsidP="006E3037">
      <w:pPr>
        <w:pStyle w:val="ListParagraph"/>
        <w:spacing w:before="0"/>
        <w:ind w:left="1077"/>
        <w:contextualSpacing w:val="0"/>
        <w:rPr>
          <w:i/>
        </w:rPr>
      </w:pPr>
    </w:p>
    <w:p w:rsidR="006E3037" w:rsidRPr="00ED0CD0" w:rsidRDefault="006F5564" w:rsidP="006D01F1">
      <w:pPr>
        <w:pStyle w:val="ListParagraph"/>
        <w:spacing w:before="0"/>
        <w:ind w:left="357"/>
        <w:contextualSpacing w:val="0"/>
      </w:pPr>
      <w:r w:rsidRPr="00ED0CD0">
        <w:t xml:space="preserve">There must be a fundamental commitment in all reporting requirements to </w:t>
      </w:r>
      <w:r w:rsidR="004925FF" w:rsidRPr="00ED0CD0">
        <w:t>reduce red tape</w:t>
      </w:r>
      <w:r w:rsidRPr="00ED0CD0">
        <w:t xml:space="preserve"> </w:t>
      </w:r>
      <w:r w:rsidR="00297B22" w:rsidRPr="00ED0CD0">
        <w:t>and compliance</w:t>
      </w:r>
      <w:r w:rsidRPr="00ED0CD0">
        <w:t xml:space="preserve"> costs</w:t>
      </w:r>
      <w:r w:rsidR="004925FF" w:rsidRPr="00ED0CD0">
        <w:t xml:space="preserve"> </w:t>
      </w:r>
      <w:r w:rsidRPr="00ED0CD0">
        <w:t xml:space="preserve">while seeking to </w:t>
      </w:r>
      <w:r w:rsidR="004925FF" w:rsidRPr="00ED0CD0">
        <w:t xml:space="preserve">streamline other </w:t>
      </w:r>
      <w:r w:rsidRPr="00ED0CD0">
        <w:t xml:space="preserve">reporting </w:t>
      </w:r>
      <w:r w:rsidR="004925FF" w:rsidRPr="00ED0CD0">
        <w:t>processes</w:t>
      </w:r>
      <w:r w:rsidRPr="00ED0CD0">
        <w:t xml:space="preserve"> through consolidation</w:t>
      </w:r>
      <w:r w:rsidR="004925FF" w:rsidRPr="00ED0CD0">
        <w:t xml:space="preserve">. </w:t>
      </w:r>
    </w:p>
    <w:p w:rsidR="006F5564" w:rsidRPr="00ED0CD0" w:rsidRDefault="006F5564" w:rsidP="006D01F1">
      <w:pPr>
        <w:pStyle w:val="ListParagraph"/>
        <w:spacing w:before="0"/>
        <w:ind w:left="357"/>
        <w:contextualSpacing w:val="0"/>
      </w:pPr>
    </w:p>
    <w:p w:rsidR="006F5564" w:rsidRPr="00ED0CD0" w:rsidRDefault="00ED0CD0" w:rsidP="006D01F1">
      <w:pPr>
        <w:pStyle w:val="ListParagraph"/>
        <w:spacing w:before="0"/>
        <w:ind w:left="357"/>
        <w:contextualSpacing w:val="0"/>
      </w:pPr>
      <w:r w:rsidRPr="00ED0CD0">
        <w:t>Ideally the vast majority of not-for-profit reporting will be self-</w:t>
      </w:r>
      <w:r w:rsidR="006F5564" w:rsidRPr="00ED0CD0">
        <w:t>report</w:t>
      </w:r>
      <w:r w:rsidR="00297B22">
        <w:t>ing</w:t>
      </w:r>
      <w:r w:rsidR="006F5564" w:rsidRPr="00ED0CD0">
        <w:t xml:space="preserve"> consisting of straight for</w:t>
      </w:r>
      <w:r w:rsidRPr="00ED0CD0">
        <w:t>ward</w:t>
      </w:r>
      <w:r w:rsidR="006F5564" w:rsidRPr="00ED0CD0">
        <w:t xml:space="preserve"> compliance statements </w:t>
      </w:r>
      <w:r w:rsidRPr="00ED0CD0">
        <w:t>from a responsible person with</w:t>
      </w:r>
      <w:r>
        <w:t>in</w:t>
      </w:r>
      <w:r w:rsidRPr="00ED0CD0">
        <w:t xml:space="preserve"> the organisation </w:t>
      </w:r>
      <w:r w:rsidR="006F5564" w:rsidRPr="00ED0CD0">
        <w:t xml:space="preserve">against </w:t>
      </w:r>
      <w:r w:rsidRPr="00ED0CD0">
        <w:t xml:space="preserve">guidelines and principles.  For instance, an organisation may be able to make a one sentence statement that they have noted and complied with the ACNC principles of good governance. </w:t>
      </w:r>
    </w:p>
    <w:p w:rsidR="00354861" w:rsidRPr="00ED0CD0" w:rsidRDefault="00354861" w:rsidP="006D01F1">
      <w:pPr>
        <w:pStyle w:val="ListParagraph"/>
        <w:spacing w:before="0"/>
        <w:ind w:left="357"/>
        <w:contextualSpacing w:val="0"/>
      </w:pPr>
    </w:p>
    <w:p w:rsidR="00B40757" w:rsidRPr="00ED0CD0" w:rsidRDefault="00354861" w:rsidP="006D01F1">
      <w:pPr>
        <w:pStyle w:val="ListParagraph"/>
        <w:spacing w:before="0"/>
        <w:ind w:left="357"/>
        <w:contextualSpacing w:val="0"/>
      </w:pPr>
      <w:r w:rsidRPr="00ED0CD0">
        <w:t xml:space="preserve">Many submissions to the definition of charity consultations identified the need for the statutory definition to recognise groups of entities that fall under the same trustee. </w:t>
      </w:r>
      <w:r w:rsidR="00012B1A">
        <w:t xml:space="preserve"> </w:t>
      </w:r>
      <w:r w:rsidRPr="00ED0CD0">
        <w:t>Churches in particular will be adversely impacted by the inability of the Commissioner to determine reporting by groups of entities as long as they meet certain provisions.</w:t>
      </w:r>
      <w:r w:rsidR="006F5564" w:rsidRPr="00ED0CD0">
        <w:t xml:space="preserve"> </w:t>
      </w:r>
      <w:r w:rsidRPr="00ED0CD0">
        <w:t xml:space="preserve"> </w:t>
      </w:r>
      <w:r w:rsidR="00B40757" w:rsidRPr="00ED0CD0">
        <w:t xml:space="preserve">The UK, Northern Ireland and NZ legislation for their charity regulators all feature the ability for groups of related entities to be regulated as a group, if they meet the basic requirements as set out in their regulatory framework. </w:t>
      </w:r>
      <w:r w:rsidR="006F5564" w:rsidRPr="00ED0CD0">
        <w:t>Group accounts should also be considered for multiple entities where they all operate to the same purpose</w:t>
      </w:r>
      <w:r w:rsidR="00297B22">
        <w:t>,</w:t>
      </w:r>
      <w:r w:rsidR="006F5564" w:rsidRPr="00ED0CD0">
        <w:t xml:space="preserve"> principles and practices such as individual organisations within a larger national body such as Lifeline Australia. The </w:t>
      </w:r>
      <w:r w:rsidR="00012B1A">
        <w:t>legislation should not rely on a</w:t>
      </w:r>
      <w:r w:rsidR="006F5564" w:rsidRPr="00ED0CD0">
        <w:t xml:space="preserve"> common law definition of ‘entity’, which is not modern or appropriate for NFPs and the way they work</w:t>
      </w:r>
      <w:r w:rsidR="00ED0CD0" w:rsidRPr="00ED0CD0">
        <w:t>.</w:t>
      </w:r>
    </w:p>
    <w:p w:rsidR="005C23B8" w:rsidRDefault="005C23B8" w:rsidP="006D01F1">
      <w:pPr>
        <w:pStyle w:val="ListParagraph"/>
        <w:spacing w:before="0"/>
        <w:ind w:left="357"/>
        <w:contextualSpacing w:val="0"/>
      </w:pPr>
    </w:p>
    <w:p w:rsidR="006F5564" w:rsidRPr="0091233F" w:rsidRDefault="006F5564" w:rsidP="006D01F1">
      <w:pPr>
        <w:pStyle w:val="ListParagraph"/>
        <w:spacing w:before="0" w:after="120"/>
        <w:ind w:left="357"/>
        <w:contextualSpacing w:val="0"/>
        <w:rPr>
          <w:b/>
        </w:rPr>
      </w:pPr>
      <w:r w:rsidRPr="0091233F">
        <w:rPr>
          <w:b/>
        </w:rPr>
        <w:t>Recommendations</w:t>
      </w:r>
    </w:p>
    <w:p w:rsidR="00ED0CD0" w:rsidRDefault="00ED0CD0" w:rsidP="006E11AD">
      <w:pPr>
        <w:pStyle w:val="ListParagraph"/>
        <w:numPr>
          <w:ilvl w:val="0"/>
          <w:numId w:val="33"/>
        </w:numPr>
      </w:pPr>
      <w:r>
        <w:t>The goal</w:t>
      </w:r>
      <w:r w:rsidR="00297B22">
        <w:t>s</w:t>
      </w:r>
      <w:r>
        <w:t xml:space="preserve"> of reducing not-for-profit red tape and compliance costs should be a key driver in determining reporting requirements</w:t>
      </w:r>
      <w:r w:rsidR="00064D71">
        <w:t>.</w:t>
      </w:r>
    </w:p>
    <w:p w:rsidR="00ED0CD0" w:rsidRDefault="00ED0CD0" w:rsidP="006E11AD">
      <w:pPr>
        <w:pStyle w:val="ListParagraph"/>
        <w:numPr>
          <w:ilvl w:val="0"/>
          <w:numId w:val="33"/>
        </w:numPr>
        <w:contextualSpacing w:val="0"/>
      </w:pPr>
      <w:r>
        <w:t>T</w:t>
      </w:r>
      <w:r w:rsidRPr="00ED0CD0">
        <w:t xml:space="preserve">he vast majority of not-for-profit reporting </w:t>
      </w:r>
      <w:r>
        <w:t>should</w:t>
      </w:r>
      <w:r w:rsidRPr="00ED0CD0">
        <w:t xml:space="preserve"> be self-r</w:t>
      </w:r>
      <w:r>
        <w:t>eport consisting of brief</w:t>
      </w:r>
      <w:r w:rsidRPr="00ED0CD0">
        <w:t xml:space="preserve"> compliance statements from a responsible person with</w:t>
      </w:r>
      <w:r>
        <w:t>in</w:t>
      </w:r>
      <w:r w:rsidRPr="00ED0CD0">
        <w:t xml:space="preserve"> the organisation against guidelines and principles</w:t>
      </w:r>
      <w:r>
        <w:t>.</w:t>
      </w:r>
    </w:p>
    <w:p w:rsidR="005C23B8" w:rsidRPr="006F5564" w:rsidRDefault="006F5564" w:rsidP="006E11AD">
      <w:pPr>
        <w:pStyle w:val="ListParagraph"/>
        <w:numPr>
          <w:ilvl w:val="0"/>
          <w:numId w:val="33"/>
        </w:numPr>
        <w:contextualSpacing w:val="0"/>
      </w:pPr>
      <w:r w:rsidRPr="006F5564">
        <w:t xml:space="preserve">The Commissioner should be given powers to determine how large organisations report for </w:t>
      </w:r>
      <w:r>
        <w:t>multiple entities including</w:t>
      </w:r>
      <w:r w:rsidRPr="006F5564">
        <w:t xml:space="preserve"> discretion to determine simplified reporting where</w:t>
      </w:r>
      <w:r>
        <w:t xml:space="preserve"> appropriate and where group reporting</w:t>
      </w:r>
      <w:r w:rsidRPr="006F5564">
        <w:t xml:space="preserve"> meets regulatory requirements.</w:t>
      </w:r>
    </w:p>
    <w:p w:rsidR="006F5564" w:rsidRPr="006F5564" w:rsidRDefault="006F5564" w:rsidP="00B40757">
      <w:pPr>
        <w:pStyle w:val="ListParagraph"/>
        <w:spacing w:before="0"/>
        <w:ind w:left="1077"/>
        <w:contextualSpacing w:val="0"/>
      </w:pPr>
    </w:p>
    <w:p w:rsidR="004925FF" w:rsidRPr="00626448" w:rsidRDefault="0021051A" w:rsidP="004925FF">
      <w:pPr>
        <w:pStyle w:val="ListParagraph"/>
        <w:numPr>
          <w:ilvl w:val="0"/>
          <w:numId w:val="3"/>
        </w:numPr>
        <w:spacing w:before="0"/>
        <w:contextualSpacing w:val="0"/>
        <w:rPr>
          <w:b/>
        </w:rPr>
      </w:pPr>
      <w:r w:rsidRPr="00626448">
        <w:rPr>
          <w:b/>
        </w:rPr>
        <w:t>Registration and transition</w:t>
      </w:r>
    </w:p>
    <w:p w:rsidR="00ED0CD0" w:rsidRDefault="00ED0CD0" w:rsidP="004925FF">
      <w:pPr>
        <w:pStyle w:val="ListParagraph"/>
        <w:spacing w:before="0"/>
        <w:ind w:left="1077"/>
        <w:contextualSpacing w:val="0"/>
        <w:rPr>
          <w:i/>
        </w:rPr>
      </w:pPr>
    </w:p>
    <w:p w:rsidR="00794F53" w:rsidRPr="006D01F1" w:rsidRDefault="00794F53" w:rsidP="006D01F1">
      <w:pPr>
        <w:pStyle w:val="ListParagraph"/>
        <w:spacing w:before="0"/>
        <w:ind w:left="357"/>
        <w:contextualSpacing w:val="0"/>
      </w:pPr>
      <w:r w:rsidRPr="006D01F1">
        <w:t xml:space="preserve">There is likely to be some apprehension about a shift to a new regulator amongst some not-for-profit organisations.  There is also a need to consider the impact of the transition and ways to address any emerging issues.  The goal of having </w:t>
      </w:r>
      <w:r w:rsidR="00297B22">
        <w:t>S</w:t>
      </w:r>
      <w:r w:rsidR="00297B22" w:rsidRPr="006D01F1">
        <w:t>tate</w:t>
      </w:r>
      <w:r w:rsidR="00297B22">
        <w:t>s</w:t>
      </w:r>
      <w:r w:rsidR="00297B22" w:rsidRPr="006D01F1">
        <w:t xml:space="preserve"> </w:t>
      </w:r>
      <w:r w:rsidRPr="006D01F1">
        <w:t xml:space="preserve">and </w:t>
      </w:r>
      <w:r w:rsidR="00297B22">
        <w:t>T</w:t>
      </w:r>
      <w:r w:rsidR="00297B22" w:rsidRPr="006D01F1">
        <w:t xml:space="preserve">erritories </w:t>
      </w:r>
      <w:r w:rsidRPr="006D01F1">
        <w:t>reduce their own reporting requirements by drawing on the ACNC registration and reporting framework should be advanced as a priority.</w:t>
      </w:r>
    </w:p>
    <w:p w:rsidR="00794F53" w:rsidRPr="006D01F1" w:rsidRDefault="00794F53" w:rsidP="006D01F1">
      <w:pPr>
        <w:pStyle w:val="ListParagraph"/>
        <w:spacing w:before="0"/>
        <w:ind w:left="357"/>
        <w:contextualSpacing w:val="0"/>
      </w:pPr>
    </w:p>
    <w:p w:rsidR="00794F53" w:rsidRPr="0091233F" w:rsidRDefault="00794F53" w:rsidP="006D01F1">
      <w:pPr>
        <w:pStyle w:val="ListParagraph"/>
        <w:spacing w:before="0" w:after="120"/>
        <w:ind w:left="357"/>
        <w:contextualSpacing w:val="0"/>
        <w:rPr>
          <w:b/>
        </w:rPr>
      </w:pPr>
      <w:r w:rsidRPr="0091233F">
        <w:rPr>
          <w:b/>
        </w:rPr>
        <w:t>Recommendations</w:t>
      </w:r>
    </w:p>
    <w:p w:rsidR="0021051A" w:rsidRPr="00794F53" w:rsidRDefault="00794F53" w:rsidP="006E11AD">
      <w:pPr>
        <w:pStyle w:val="ListParagraph"/>
        <w:numPr>
          <w:ilvl w:val="0"/>
          <w:numId w:val="33"/>
        </w:numPr>
        <w:spacing w:before="0" w:after="120"/>
      </w:pPr>
      <w:r w:rsidRPr="00794F53">
        <w:t>A</w:t>
      </w:r>
      <w:r w:rsidR="004925FF" w:rsidRPr="00794F53">
        <w:t xml:space="preserve"> step-by-step guide should be made available for </w:t>
      </w:r>
      <w:r w:rsidR="00ED0CD0" w:rsidRPr="00794F53">
        <w:t xml:space="preserve">all </w:t>
      </w:r>
      <w:r w:rsidR="004925FF" w:rsidRPr="00794F53">
        <w:t>organisations transitioning to the ne</w:t>
      </w:r>
      <w:r w:rsidR="00ED0CD0" w:rsidRPr="00794F53">
        <w:t>w regulatory regime.  A</w:t>
      </w:r>
      <w:r w:rsidR="004925FF" w:rsidRPr="00794F53">
        <w:t xml:space="preserve"> reasonable transition period should exist to test the impact of the ACNC on red tape reduction and better regulation</w:t>
      </w:r>
      <w:r w:rsidR="00ED0CD0" w:rsidRPr="00794F53">
        <w:t>.</w:t>
      </w:r>
    </w:p>
    <w:p w:rsidR="00ED0CD0" w:rsidRPr="00794F53" w:rsidRDefault="00ED0CD0" w:rsidP="006E11AD">
      <w:pPr>
        <w:pStyle w:val="ListParagraph"/>
        <w:numPr>
          <w:ilvl w:val="0"/>
          <w:numId w:val="33"/>
        </w:numPr>
        <w:spacing w:before="0" w:after="120"/>
        <w:contextualSpacing w:val="0"/>
      </w:pPr>
      <w:r w:rsidRPr="00794F53">
        <w:lastRenderedPageBreak/>
        <w:t xml:space="preserve">The performance of the ACNC needs to </w:t>
      </w:r>
      <w:r w:rsidR="00297B22">
        <w:t xml:space="preserve">be </w:t>
      </w:r>
      <w:r w:rsidR="00794F53" w:rsidRPr="00794F53">
        <w:t xml:space="preserve">monitored </w:t>
      </w:r>
      <w:r w:rsidRPr="00794F53">
        <w:t>against the goal</w:t>
      </w:r>
      <w:r w:rsidR="00297B22">
        <w:t>s</w:t>
      </w:r>
      <w:r w:rsidRPr="00794F53">
        <w:t xml:space="preserve"> of the National Compact, particularly in relation to red tape reduction and streamlined reporting.</w:t>
      </w:r>
    </w:p>
    <w:p w:rsidR="00794F53" w:rsidRPr="00794F53" w:rsidRDefault="00794F53" w:rsidP="006E11AD">
      <w:pPr>
        <w:pStyle w:val="ListParagraph"/>
        <w:numPr>
          <w:ilvl w:val="0"/>
          <w:numId w:val="33"/>
        </w:numPr>
        <w:spacing w:before="0" w:after="120"/>
        <w:contextualSpacing w:val="0"/>
      </w:pPr>
      <w:r w:rsidRPr="00794F53">
        <w:t>Harmonisation of not-for-profit reporting requirements should be a priority in the ongoing development of the ACNC reporting framework.</w:t>
      </w:r>
    </w:p>
    <w:p w:rsidR="00553900" w:rsidRPr="00626448" w:rsidRDefault="00ED0CD0" w:rsidP="00794F53">
      <w:pPr>
        <w:pStyle w:val="ListParagraph"/>
        <w:spacing w:before="0"/>
        <w:ind w:left="1077"/>
        <w:contextualSpacing w:val="0"/>
        <w:rPr>
          <w:i/>
        </w:rPr>
      </w:pPr>
      <w:r w:rsidRPr="00626448">
        <w:rPr>
          <w:i/>
        </w:rPr>
        <w:t xml:space="preserve"> </w:t>
      </w:r>
    </w:p>
    <w:p w:rsidR="004925FF" w:rsidRPr="00794F53" w:rsidRDefault="005C23B8" w:rsidP="005C23B8">
      <w:pPr>
        <w:pStyle w:val="ListParagraph"/>
        <w:numPr>
          <w:ilvl w:val="0"/>
          <w:numId w:val="3"/>
        </w:numPr>
        <w:spacing w:before="0"/>
        <w:rPr>
          <w:b/>
        </w:rPr>
      </w:pPr>
      <w:r w:rsidRPr="00794F53">
        <w:rPr>
          <w:b/>
        </w:rPr>
        <w:t>Procedural fairness</w:t>
      </w:r>
    </w:p>
    <w:p w:rsidR="005C23B8" w:rsidRPr="00794F53" w:rsidRDefault="005C23B8" w:rsidP="005C23B8">
      <w:pPr>
        <w:pStyle w:val="ListParagraph"/>
        <w:spacing w:before="0"/>
        <w:ind w:left="1077"/>
        <w:rPr>
          <w:b/>
        </w:rPr>
      </w:pPr>
    </w:p>
    <w:p w:rsidR="00DE3E22" w:rsidRPr="006D01F1" w:rsidRDefault="00794F53" w:rsidP="002B0229">
      <w:pPr>
        <w:pStyle w:val="ListParagraph"/>
        <w:spacing w:before="0" w:after="240"/>
        <w:ind w:left="357"/>
        <w:contextualSpacing w:val="0"/>
      </w:pPr>
      <w:r w:rsidRPr="006D01F1">
        <w:t>As with all regulators, there is a need to ensure procedural fairness.  CCA believe this includes issues such as</w:t>
      </w:r>
      <w:r w:rsidR="00297B22">
        <w:t>:</w:t>
      </w:r>
      <w:r w:rsidR="00297B22" w:rsidRPr="006D01F1">
        <w:t xml:space="preserve"> </w:t>
      </w:r>
      <w:r w:rsidRPr="006D01F1">
        <w:t>a</w:t>
      </w:r>
      <w:r w:rsidR="000840D7" w:rsidRPr="006D01F1">
        <w:t>dequate notice periods;</w:t>
      </w:r>
      <w:r w:rsidRPr="006D01F1">
        <w:t xml:space="preserve"> notice of i</w:t>
      </w:r>
      <w:r w:rsidR="000840D7" w:rsidRPr="006D01F1">
        <w:t xml:space="preserve">ntention to issue directions by </w:t>
      </w:r>
      <w:r w:rsidR="00297B22">
        <w:t xml:space="preserve">the </w:t>
      </w:r>
      <w:r w:rsidR="000840D7" w:rsidRPr="006D01F1">
        <w:t xml:space="preserve">ACNC and opportunity for action by </w:t>
      </w:r>
      <w:r w:rsidR="00297B22">
        <w:t xml:space="preserve">an </w:t>
      </w:r>
      <w:r w:rsidR="000840D7" w:rsidRPr="006D01F1">
        <w:t>entity within a reasonable period of time</w:t>
      </w:r>
      <w:r w:rsidRPr="006D01F1">
        <w:t>; i</w:t>
      </w:r>
      <w:r w:rsidR="000840D7" w:rsidRPr="006D01F1">
        <w:t>nformation and reasons for decisions</w:t>
      </w:r>
      <w:r w:rsidR="00144C39" w:rsidRPr="006D01F1">
        <w:t xml:space="preserve"> including a published report that includes any evidence given by the entity</w:t>
      </w:r>
      <w:r w:rsidR="000840D7" w:rsidRPr="006D01F1">
        <w:t>;</w:t>
      </w:r>
      <w:r w:rsidRPr="006D01F1">
        <w:t xml:space="preserve"> </w:t>
      </w:r>
      <w:r w:rsidR="00297B22">
        <w:t xml:space="preserve">and </w:t>
      </w:r>
      <w:r w:rsidRPr="006D01F1">
        <w:t>a</w:t>
      </w:r>
      <w:r w:rsidR="00144C39" w:rsidRPr="006D01F1">
        <w:t>ffected</w:t>
      </w:r>
      <w:r w:rsidR="00012B1A">
        <w:t xml:space="preserve"> people having</w:t>
      </w:r>
      <w:r w:rsidR="000840D7" w:rsidRPr="006D01F1">
        <w:t xml:space="preserve"> the </w:t>
      </w:r>
      <w:r w:rsidR="00144C39" w:rsidRPr="006D01F1">
        <w:t>opportunity</w:t>
      </w:r>
      <w:r w:rsidR="000840D7" w:rsidRPr="006D01F1">
        <w:t xml:space="preserve"> to have their voices heard before a decision is made</w:t>
      </w:r>
      <w:r w:rsidR="00DE3E22" w:rsidRPr="006D01F1">
        <w:t>.</w:t>
      </w:r>
    </w:p>
    <w:p w:rsidR="00DE3E22" w:rsidRPr="0091233F" w:rsidRDefault="00DE3E22" w:rsidP="002B0229">
      <w:pPr>
        <w:pStyle w:val="ListParagraph"/>
        <w:spacing w:after="120"/>
        <w:ind w:left="357"/>
        <w:contextualSpacing w:val="0"/>
        <w:rPr>
          <w:b/>
        </w:rPr>
      </w:pPr>
      <w:r w:rsidRPr="0091233F">
        <w:rPr>
          <w:b/>
        </w:rPr>
        <w:t>Recommendations</w:t>
      </w:r>
    </w:p>
    <w:p w:rsidR="000840D7" w:rsidRPr="00794F53" w:rsidRDefault="00DE3E22" w:rsidP="006E11AD">
      <w:pPr>
        <w:pStyle w:val="ListParagraph"/>
        <w:numPr>
          <w:ilvl w:val="0"/>
          <w:numId w:val="33"/>
        </w:numPr>
        <w:spacing w:before="0"/>
      </w:pPr>
      <w:r>
        <w:t>The ACNC must ensure there are clear provisions for procedural fairness in all ACNC actions</w:t>
      </w:r>
      <w:r w:rsidR="00297B22">
        <w:t>.</w:t>
      </w:r>
      <w:r>
        <w:t xml:space="preserve"> </w:t>
      </w:r>
    </w:p>
    <w:p w:rsidR="005C23B8" w:rsidRPr="00794F53" w:rsidRDefault="005C23B8" w:rsidP="004925FF">
      <w:pPr>
        <w:spacing w:before="0"/>
        <w:rPr>
          <w:b/>
          <w:u w:val="single"/>
        </w:rPr>
      </w:pPr>
    </w:p>
    <w:p w:rsidR="005C23B8" w:rsidRDefault="005C23B8" w:rsidP="004925FF">
      <w:pPr>
        <w:spacing w:before="0"/>
        <w:rPr>
          <w:b/>
          <w:u w:val="single"/>
        </w:rPr>
      </w:pPr>
    </w:p>
    <w:p w:rsidR="006D01F1" w:rsidRDefault="006D01F1" w:rsidP="004925FF">
      <w:pPr>
        <w:spacing w:before="0"/>
        <w:rPr>
          <w:b/>
          <w:u w:val="single"/>
        </w:rPr>
      </w:pPr>
    </w:p>
    <w:p w:rsidR="001B35F3" w:rsidRPr="00626448" w:rsidRDefault="001B35F3" w:rsidP="004925FF">
      <w:pPr>
        <w:spacing w:before="0"/>
        <w:rPr>
          <w:b/>
          <w:u w:val="single"/>
        </w:rPr>
      </w:pPr>
    </w:p>
    <w:p w:rsidR="00D76C3C" w:rsidRPr="001140EF" w:rsidRDefault="001140EF" w:rsidP="004925FF">
      <w:pPr>
        <w:spacing w:before="0"/>
        <w:rPr>
          <w:rFonts w:asciiTheme="majorHAnsi" w:hAnsiTheme="majorHAnsi"/>
          <w:b/>
          <w:sz w:val="28"/>
          <w:szCs w:val="28"/>
        </w:rPr>
      </w:pPr>
      <w:r w:rsidRPr="001140EF">
        <w:rPr>
          <w:rFonts w:asciiTheme="majorHAnsi" w:hAnsiTheme="majorHAnsi"/>
          <w:b/>
          <w:sz w:val="28"/>
          <w:szCs w:val="28"/>
        </w:rPr>
        <w:t>What the ACNC will regulate</w:t>
      </w:r>
    </w:p>
    <w:p w:rsidR="004925FF" w:rsidRPr="00626448" w:rsidRDefault="004925FF" w:rsidP="004925FF">
      <w:pPr>
        <w:spacing w:before="0"/>
        <w:rPr>
          <w:b/>
          <w:u w:val="single"/>
        </w:rPr>
      </w:pPr>
    </w:p>
    <w:p w:rsidR="00B053DF" w:rsidRPr="00626448" w:rsidRDefault="00D76C3C" w:rsidP="001140EF">
      <w:pPr>
        <w:pStyle w:val="ListParagraph"/>
        <w:numPr>
          <w:ilvl w:val="0"/>
          <w:numId w:val="3"/>
        </w:numPr>
        <w:spacing w:before="0"/>
        <w:contextualSpacing w:val="0"/>
        <w:rPr>
          <w:b/>
        </w:rPr>
      </w:pPr>
      <w:r w:rsidRPr="00626448">
        <w:rPr>
          <w:b/>
        </w:rPr>
        <w:t>Charitable</w:t>
      </w:r>
      <w:r w:rsidR="003F1B2B" w:rsidRPr="00626448">
        <w:rPr>
          <w:b/>
        </w:rPr>
        <w:t xml:space="preserve"> status – purpose and activities</w:t>
      </w:r>
    </w:p>
    <w:p w:rsidR="00B053DF" w:rsidRPr="00626448" w:rsidRDefault="00B053DF" w:rsidP="00B053DF">
      <w:pPr>
        <w:spacing w:before="0"/>
        <w:ind w:left="714"/>
        <w:rPr>
          <w:b/>
          <w:i/>
        </w:rPr>
      </w:pPr>
    </w:p>
    <w:p w:rsidR="00D62BBE" w:rsidRPr="00D62BBE" w:rsidRDefault="00FA384B" w:rsidP="006D01F1">
      <w:pPr>
        <w:spacing w:before="0"/>
      </w:pPr>
      <w:r w:rsidRPr="00D62BBE">
        <w:t>Determining the charitable status of a not-for-profit organisation should be clearly articulated in the legislation as a function of the ACNC.</w:t>
      </w:r>
      <w:r w:rsidR="00D62BBE" w:rsidRPr="00D62BBE">
        <w:t xml:space="preserve">  To this end, the ACNC will need to work with the emerging definition of charity legislation and with the not-for-profit sector.</w:t>
      </w:r>
    </w:p>
    <w:p w:rsidR="00D62BBE" w:rsidRDefault="00D62BBE" w:rsidP="006D01F1">
      <w:pPr>
        <w:spacing w:before="0"/>
        <w:rPr>
          <w:i/>
        </w:rPr>
      </w:pPr>
    </w:p>
    <w:p w:rsidR="00D62BBE" w:rsidRPr="0091233F" w:rsidRDefault="00B053DF" w:rsidP="006D01F1">
      <w:pPr>
        <w:pStyle w:val="ListParagraph"/>
        <w:spacing w:before="0" w:after="120"/>
        <w:ind w:left="363"/>
        <w:contextualSpacing w:val="0"/>
        <w:rPr>
          <w:b/>
        </w:rPr>
      </w:pPr>
      <w:r w:rsidRPr="00626448">
        <w:rPr>
          <w:i/>
        </w:rPr>
        <w:t xml:space="preserve"> </w:t>
      </w:r>
      <w:r w:rsidR="00D62BBE" w:rsidRPr="0091233F">
        <w:rPr>
          <w:b/>
        </w:rPr>
        <w:t>Recommendations</w:t>
      </w:r>
    </w:p>
    <w:p w:rsidR="00B053DF" w:rsidRDefault="00D62BBE" w:rsidP="006E11AD">
      <w:pPr>
        <w:pStyle w:val="ListParagraph"/>
        <w:numPr>
          <w:ilvl w:val="0"/>
          <w:numId w:val="33"/>
        </w:numPr>
        <w:spacing w:before="0"/>
      </w:pPr>
      <w:r>
        <w:t>The ACNC should determine the charitable status of not-for-profit organisations</w:t>
      </w:r>
      <w:r w:rsidR="00064D71">
        <w:t>.</w:t>
      </w:r>
    </w:p>
    <w:p w:rsidR="004925FF" w:rsidRPr="00626448" w:rsidRDefault="004925FF" w:rsidP="004925FF">
      <w:pPr>
        <w:pStyle w:val="ListParagraph"/>
        <w:spacing w:before="0"/>
        <w:ind w:left="1071"/>
        <w:contextualSpacing w:val="0"/>
        <w:rPr>
          <w:b/>
        </w:rPr>
      </w:pPr>
    </w:p>
    <w:p w:rsidR="00D62BBE" w:rsidRDefault="00D76C3C" w:rsidP="001140EF">
      <w:pPr>
        <w:pStyle w:val="ListParagraph"/>
        <w:numPr>
          <w:ilvl w:val="0"/>
          <w:numId w:val="3"/>
        </w:numPr>
        <w:spacing w:before="0"/>
        <w:contextualSpacing w:val="0"/>
        <w:rPr>
          <w:b/>
        </w:rPr>
      </w:pPr>
      <w:r w:rsidRPr="00626448">
        <w:rPr>
          <w:b/>
        </w:rPr>
        <w:t>Governance</w:t>
      </w:r>
      <w:r w:rsidR="00DD4C88" w:rsidRPr="00626448">
        <w:rPr>
          <w:b/>
        </w:rPr>
        <w:t xml:space="preserve"> </w:t>
      </w:r>
    </w:p>
    <w:p w:rsidR="004925FF" w:rsidRPr="00626448" w:rsidRDefault="004925FF" w:rsidP="006D01F1">
      <w:pPr>
        <w:pStyle w:val="ListParagraph"/>
        <w:spacing w:before="0"/>
        <w:ind w:left="357"/>
        <w:contextualSpacing w:val="0"/>
        <w:rPr>
          <w:b/>
        </w:rPr>
      </w:pPr>
    </w:p>
    <w:p w:rsidR="00974869" w:rsidRPr="001E3058" w:rsidRDefault="00EB2212" w:rsidP="006D01F1">
      <w:pPr>
        <w:pStyle w:val="ListParagraph"/>
        <w:spacing w:before="0"/>
        <w:ind w:left="357"/>
      </w:pPr>
      <w:r w:rsidRPr="001E3058">
        <w:t xml:space="preserve">The principles shaping the </w:t>
      </w:r>
      <w:r w:rsidR="001E3058" w:rsidRPr="001E3058">
        <w:t xml:space="preserve">ACNC </w:t>
      </w:r>
      <w:r w:rsidRPr="001E3058">
        <w:t xml:space="preserve">governance framework must be sensible and not be a one-size-fits-all approach. </w:t>
      </w:r>
      <w:r w:rsidR="00D62BBE" w:rsidRPr="001E3058">
        <w:t xml:space="preserve"> They also need to take account of the broad and often onerous range of governance requirements currently imposed on not-for-profit organisations.  These include</w:t>
      </w:r>
      <w:r w:rsidR="00974869" w:rsidRPr="001E3058">
        <w:t xml:space="preserve"> common law provisions, directors’ responsibilities (e.g. Centro case), </w:t>
      </w:r>
      <w:r w:rsidR="00D62BBE" w:rsidRPr="001E3058">
        <w:t xml:space="preserve">OHS legislation, </w:t>
      </w:r>
      <w:r w:rsidR="00974869" w:rsidRPr="001E3058">
        <w:t xml:space="preserve">other </w:t>
      </w:r>
      <w:r w:rsidR="001E3058" w:rsidRPr="001E3058">
        <w:t xml:space="preserve">regulators, </w:t>
      </w:r>
      <w:r w:rsidR="00974869" w:rsidRPr="001E3058">
        <w:t xml:space="preserve">funders, </w:t>
      </w:r>
      <w:r w:rsidR="001E3058" w:rsidRPr="001E3058">
        <w:t xml:space="preserve">and </w:t>
      </w:r>
      <w:r w:rsidR="00297B22">
        <w:t>S</w:t>
      </w:r>
      <w:r w:rsidR="00297B22" w:rsidRPr="001E3058">
        <w:t xml:space="preserve">tate </w:t>
      </w:r>
      <w:r w:rsidR="001E3058" w:rsidRPr="001E3058">
        <w:t>governments.</w:t>
      </w:r>
      <w:r w:rsidR="00974869" w:rsidRPr="001E3058">
        <w:t xml:space="preserve"> </w:t>
      </w:r>
      <w:r w:rsidR="001E3058" w:rsidRPr="001E3058">
        <w:t xml:space="preserve"> </w:t>
      </w:r>
    </w:p>
    <w:p w:rsidR="00974869" w:rsidRPr="001E3058" w:rsidRDefault="00974869" w:rsidP="006D01F1">
      <w:pPr>
        <w:pStyle w:val="ListParagraph"/>
        <w:spacing w:before="0"/>
        <w:ind w:left="357"/>
      </w:pPr>
    </w:p>
    <w:p w:rsidR="00FD7076" w:rsidRPr="001E3058" w:rsidRDefault="001E3058" w:rsidP="006D01F1">
      <w:pPr>
        <w:pStyle w:val="ListParagraph"/>
        <w:spacing w:before="0"/>
        <w:ind w:left="357"/>
      </w:pPr>
      <w:r w:rsidRPr="001E3058">
        <w:t>It is also important to note that w</w:t>
      </w:r>
      <w:r w:rsidR="00FD7076" w:rsidRPr="001E3058">
        <w:t xml:space="preserve">hile there is some variance in practice across the sector, many sector organisations have </w:t>
      </w:r>
      <w:r w:rsidR="00012B1A">
        <w:t>undertaken</w:t>
      </w:r>
      <w:r w:rsidR="00FD7076" w:rsidRPr="001E3058">
        <w:t xml:space="preserve"> extensive work to develop and implement best practice </w:t>
      </w:r>
      <w:r w:rsidRPr="001E3058">
        <w:t xml:space="preserve">or ‘model rules’ on governance.  CCA members can provide countless examples of how they implement best practice governance that well exceeds the type of requirements currently met in </w:t>
      </w:r>
      <w:r w:rsidR="001B35F3">
        <w:t>for-profit</w:t>
      </w:r>
      <w:r w:rsidRPr="001E3058">
        <w:t xml:space="preserve"> entities.</w:t>
      </w:r>
    </w:p>
    <w:p w:rsidR="001E3058" w:rsidRPr="001E3058" w:rsidRDefault="001E3058" w:rsidP="006D01F1">
      <w:pPr>
        <w:pStyle w:val="ListParagraph"/>
        <w:spacing w:before="0"/>
        <w:ind w:left="357"/>
      </w:pPr>
    </w:p>
    <w:p w:rsidR="001B35F3" w:rsidRDefault="001E3058" w:rsidP="006D01F1">
      <w:pPr>
        <w:pStyle w:val="ListParagraph"/>
        <w:spacing w:before="0"/>
        <w:ind w:left="357"/>
      </w:pPr>
      <w:r w:rsidRPr="001E3058">
        <w:lastRenderedPageBreak/>
        <w:t>Contrary to the implications in some government publications, the community have much greater faith in the transparency, accountability and governance arrangements of not-for-prof</w:t>
      </w:r>
      <w:r w:rsidR="001B35F3">
        <w:t>it organisations than they do in</w:t>
      </w:r>
      <w:r w:rsidRPr="001E3058">
        <w:t xml:space="preserve"> government departments or </w:t>
      </w:r>
      <w:r w:rsidR="001B35F3">
        <w:t>for-profit</w:t>
      </w:r>
      <w:r w:rsidRPr="001E3058">
        <w:t xml:space="preserve"> organisations.  </w:t>
      </w:r>
    </w:p>
    <w:p w:rsidR="001B35F3" w:rsidRDefault="001B35F3" w:rsidP="006D01F1">
      <w:pPr>
        <w:pStyle w:val="ListParagraph"/>
        <w:spacing w:before="0"/>
        <w:ind w:left="357"/>
      </w:pPr>
    </w:p>
    <w:p w:rsidR="001E3058" w:rsidRPr="001E3058" w:rsidRDefault="001E3058" w:rsidP="006D01F1">
      <w:pPr>
        <w:pStyle w:val="ListParagraph"/>
        <w:spacing w:before="0"/>
        <w:ind w:left="357"/>
      </w:pPr>
      <w:r w:rsidRPr="001E3058">
        <w:t xml:space="preserve">The community are often directly involved in their not-for-profit organisations.  This direct engagement is the strongest accountability and transparency practice in existence and should be actively encouraged, not discouraged through separate onerous reporting.  </w:t>
      </w:r>
    </w:p>
    <w:p w:rsidR="00201E07" w:rsidRPr="001E3058" w:rsidRDefault="00201E07" w:rsidP="006D01F1">
      <w:pPr>
        <w:spacing w:before="0"/>
        <w:ind w:left="0"/>
      </w:pPr>
    </w:p>
    <w:p w:rsidR="00FD7076" w:rsidRPr="001E3058" w:rsidRDefault="001E3058" w:rsidP="006D01F1">
      <w:pPr>
        <w:pStyle w:val="ListParagraph"/>
        <w:spacing w:before="0"/>
        <w:ind w:left="357"/>
        <w:contextualSpacing w:val="0"/>
      </w:pPr>
      <w:r w:rsidRPr="001E3058">
        <w:t xml:space="preserve">CCA members </w:t>
      </w:r>
      <w:r w:rsidR="00201E07" w:rsidRPr="001E3058">
        <w:t xml:space="preserve">are comfortable with the principles-based approach as adopted by the Charities Commission in England and Wales. </w:t>
      </w:r>
      <w:r w:rsidR="00763527" w:rsidRPr="001E3058">
        <w:t xml:space="preserve">This framework should be supported by simple and useful education materials which are </w:t>
      </w:r>
      <w:r w:rsidR="00D62BBE" w:rsidRPr="001E3058">
        <w:t xml:space="preserve">readily </w:t>
      </w:r>
      <w:r w:rsidRPr="001E3058">
        <w:t>available, and the capacity of not-for-profit organisations to make brief statements of compliance against the principles.</w:t>
      </w:r>
    </w:p>
    <w:p w:rsidR="001E3058" w:rsidRPr="001E3058" w:rsidRDefault="001E3058" w:rsidP="006D01F1">
      <w:pPr>
        <w:pStyle w:val="ListParagraph"/>
        <w:spacing w:before="0"/>
        <w:ind w:left="357"/>
      </w:pPr>
    </w:p>
    <w:p w:rsidR="00BA1CC3" w:rsidRPr="001E3058" w:rsidRDefault="001E3058" w:rsidP="006D01F1">
      <w:pPr>
        <w:pStyle w:val="ListParagraph"/>
        <w:spacing w:before="0"/>
        <w:ind w:left="357"/>
      </w:pPr>
      <w:r w:rsidRPr="001E3058">
        <w:t>T</w:t>
      </w:r>
      <w:r w:rsidR="00BA1CC3" w:rsidRPr="001E3058">
        <w:t>he move to citizen-cen</w:t>
      </w:r>
      <w:r w:rsidR="00D62BBE" w:rsidRPr="001E3058">
        <w:t xml:space="preserve">tric policy making, as </w:t>
      </w:r>
      <w:r w:rsidR="00BA1CC3" w:rsidRPr="001E3058">
        <w:t>supported and encouraged through the social inclusion agenda, should be recognized and supported by new governance frameworks, not impeded by them.</w:t>
      </w:r>
      <w:r w:rsidRPr="001E3058">
        <w:t xml:space="preserve">  </w:t>
      </w:r>
      <w:r w:rsidR="00D62BBE" w:rsidRPr="001E3058">
        <w:t>T</w:t>
      </w:r>
      <w:r w:rsidR="00BA1CC3" w:rsidRPr="001E3058">
        <w:t xml:space="preserve">he move to greater innovation in service delivery as well as blended financing and use of market </w:t>
      </w:r>
      <w:r w:rsidR="00AD5C1D" w:rsidRPr="001E3058">
        <w:t>mechanisms</w:t>
      </w:r>
      <w:r w:rsidR="00BA1CC3" w:rsidRPr="001E3058">
        <w:t xml:space="preserve"> to deliver social outcomes should also not be impeded by </w:t>
      </w:r>
      <w:r w:rsidR="001B35F3">
        <w:t xml:space="preserve">any </w:t>
      </w:r>
      <w:r w:rsidR="00AD5C1D" w:rsidRPr="001E3058">
        <w:t xml:space="preserve">new </w:t>
      </w:r>
      <w:r w:rsidR="00BA1CC3" w:rsidRPr="001E3058">
        <w:t xml:space="preserve">governance frameworks. </w:t>
      </w:r>
    </w:p>
    <w:p w:rsidR="00553900" w:rsidRPr="00626448" w:rsidRDefault="00553900" w:rsidP="006D01F1">
      <w:pPr>
        <w:pStyle w:val="ListParagraph"/>
        <w:spacing w:before="0"/>
        <w:ind w:left="357"/>
        <w:contextualSpacing w:val="0"/>
        <w:rPr>
          <w:i/>
        </w:rPr>
      </w:pPr>
    </w:p>
    <w:p w:rsidR="00C45438" w:rsidRPr="0091233F" w:rsidRDefault="00C45438" w:rsidP="006D01F1">
      <w:pPr>
        <w:pStyle w:val="ListParagraph"/>
        <w:spacing w:before="0" w:after="120"/>
        <w:ind w:left="363"/>
        <w:contextualSpacing w:val="0"/>
        <w:rPr>
          <w:b/>
        </w:rPr>
      </w:pPr>
      <w:r w:rsidRPr="0091233F">
        <w:rPr>
          <w:b/>
        </w:rPr>
        <w:t>Recommendations</w:t>
      </w:r>
    </w:p>
    <w:p w:rsidR="00C45438" w:rsidRDefault="00C45438" w:rsidP="006D01F1">
      <w:pPr>
        <w:pStyle w:val="ListParagraph"/>
        <w:numPr>
          <w:ilvl w:val="0"/>
          <w:numId w:val="33"/>
        </w:numPr>
        <w:spacing w:before="0" w:after="120"/>
        <w:contextualSpacing w:val="0"/>
      </w:pPr>
      <w:r>
        <w:t xml:space="preserve">The ACNC should establish </w:t>
      </w:r>
      <w:proofErr w:type="gramStart"/>
      <w:r>
        <w:t>a principles</w:t>
      </w:r>
      <w:proofErr w:type="gramEnd"/>
      <w:r>
        <w:t xml:space="preserve"> based governance compliance requirement that provides guidance rather than prescribing set governance arrangements (drawing on good practice in the United Kingdom and elsewhere)</w:t>
      </w:r>
      <w:r w:rsidR="00064D71">
        <w:t>.</w:t>
      </w:r>
    </w:p>
    <w:p w:rsidR="00C45438" w:rsidRDefault="00C45438" w:rsidP="006D01F1">
      <w:pPr>
        <w:pStyle w:val="ListParagraph"/>
        <w:numPr>
          <w:ilvl w:val="0"/>
          <w:numId w:val="33"/>
        </w:numPr>
        <w:spacing w:before="0" w:after="120"/>
        <w:contextualSpacing w:val="0"/>
      </w:pPr>
      <w:r>
        <w:t>The unique nature of not-for-profit governance and engagement with community should be enhanced by the ACNC governance principles</w:t>
      </w:r>
      <w:r w:rsidR="00064D71">
        <w:t>.</w:t>
      </w:r>
    </w:p>
    <w:p w:rsidR="00553900" w:rsidRPr="00C45438" w:rsidRDefault="00553900" w:rsidP="00EB2212">
      <w:pPr>
        <w:pStyle w:val="ListParagraph"/>
        <w:spacing w:before="0"/>
        <w:ind w:left="1071"/>
        <w:contextualSpacing w:val="0"/>
      </w:pPr>
    </w:p>
    <w:p w:rsidR="00C45438" w:rsidRDefault="00B73626" w:rsidP="001140EF">
      <w:pPr>
        <w:pStyle w:val="ListParagraph"/>
        <w:numPr>
          <w:ilvl w:val="0"/>
          <w:numId w:val="3"/>
        </w:numPr>
        <w:spacing w:before="0"/>
        <w:contextualSpacing w:val="0"/>
        <w:rPr>
          <w:b/>
        </w:rPr>
      </w:pPr>
      <w:r>
        <w:rPr>
          <w:b/>
        </w:rPr>
        <w:t>Responsible person</w:t>
      </w:r>
      <w:r w:rsidR="00C45438">
        <w:rPr>
          <w:b/>
        </w:rPr>
        <w:t xml:space="preserve"> </w:t>
      </w:r>
    </w:p>
    <w:p w:rsidR="00C45438" w:rsidRDefault="00C45438" w:rsidP="00C45438">
      <w:pPr>
        <w:pStyle w:val="ListParagraph"/>
        <w:spacing w:before="0"/>
        <w:ind w:left="1071"/>
        <w:contextualSpacing w:val="0"/>
        <w:rPr>
          <w:b/>
        </w:rPr>
      </w:pPr>
    </w:p>
    <w:p w:rsidR="00D76C3C" w:rsidRPr="00B73626" w:rsidRDefault="00C45438" w:rsidP="006D01F1">
      <w:pPr>
        <w:pStyle w:val="ListParagraph"/>
        <w:spacing w:before="0"/>
        <w:ind w:left="357"/>
        <w:contextualSpacing w:val="0"/>
      </w:pPr>
      <w:r w:rsidRPr="00B73626">
        <w:t>It is important to ensure</w:t>
      </w:r>
      <w:r w:rsidR="003F1B2B" w:rsidRPr="00B73626">
        <w:t xml:space="preserve"> the requirements </w:t>
      </w:r>
      <w:r w:rsidR="00064D71">
        <w:t xml:space="preserve">imposed </w:t>
      </w:r>
      <w:r w:rsidRPr="00B73626">
        <w:t xml:space="preserve">on </w:t>
      </w:r>
      <w:r w:rsidR="00B73626">
        <w:t xml:space="preserve">a </w:t>
      </w:r>
      <w:r w:rsidRPr="00B73626">
        <w:t xml:space="preserve">responsible </w:t>
      </w:r>
      <w:r w:rsidR="00B73626">
        <w:t>person</w:t>
      </w:r>
      <w:r w:rsidRPr="00B73626">
        <w:t xml:space="preserve"> </w:t>
      </w:r>
      <w:r w:rsidR="003F1B2B" w:rsidRPr="00B73626">
        <w:t>are appropriate and not burdensome</w:t>
      </w:r>
      <w:r w:rsidR="00064D71">
        <w:t>,</w:t>
      </w:r>
      <w:r w:rsidR="003F1B2B" w:rsidRPr="00B73626">
        <w:t xml:space="preserve"> and </w:t>
      </w:r>
      <w:r w:rsidR="00297B22" w:rsidRPr="00B73626">
        <w:t>recogni</w:t>
      </w:r>
      <w:r w:rsidR="00297B22">
        <w:t>s</w:t>
      </w:r>
      <w:r w:rsidR="00297B22" w:rsidRPr="00B73626">
        <w:t xml:space="preserve">e </w:t>
      </w:r>
      <w:r w:rsidRPr="00B73626">
        <w:t>the way most not-for-profit organisations operate and engage with their community.</w:t>
      </w:r>
      <w:r w:rsidR="00DD4C88" w:rsidRPr="00B73626">
        <w:t xml:space="preserve"> </w:t>
      </w:r>
    </w:p>
    <w:p w:rsidR="00EB2212" w:rsidRPr="00B73626" w:rsidRDefault="00EB2212" w:rsidP="006D01F1">
      <w:pPr>
        <w:pStyle w:val="ListParagraph"/>
        <w:spacing w:before="0"/>
        <w:ind w:left="357"/>
        <w:contextualSpacing w:val="0"/>
      </w:pPr>
    </w:p>
    <w:p w:rsidR="000840D7" w:rsidRPr="00B73626" w:rsidRDefault="00EB2212" w:rsidP="006D01F1">
      <w:pPr>
        <w:pStyle w:val="ListParagraph"/>
        <w:spacing w:before="0"/>
        <w:ind w:left="357"/>
        <w:contextualSpacing w:val="0"/>
      </w:pPr>
      <w:r w:rsidRPr="00B73626">
        <w:t xml:space="preserve">The notion of who is a responsible person and who is involved in the decision-making </w:t>
      </w:r>
      <w:r w:rsidR="002C372E" w:rsidRPr="00B73626">
        <w:t>process</w:t>
      </w:r>
      <w:r w:rsidRPr="00B73626">
        <w:t xml:space="preserve"> should not impact on all the people involved in decision-making</w:t>
      </w:r>
      <w:r w:rsidR="009804A2" w:rsidRPr="00B73626">
        <w:t xml:space="preserve">. </w:t>
      </w:r>
      <w:r w:rsidR="00C45438" w:rsidRPr="00B73626">
        <w:t>T</w:t>
      </w:r>
      <w:r w:rsidR="002C372E" w:rsidRPr="00B73626">
        <w:t xml:space="preserve">he responsible </w:t>
      </w:r>
      <w:r w:rsidR="00297B22">
        <w:t>person role</w:t>
      </w:r>
      <w:r w:rsidR="00297B22" w:rsidRPr="00B73626">
        <w:t xml:space="preserve"> </w:t>
      </w:r>
      <w:r w:rsidR="002C372E" w:rsidRPr="00B73626">
        <w:t xml:space="preserve">should be limited to those </w:t>
      </w:r>
      <w:r w:rsidR="008C57C6" w:rsidRPr="00B73626">
        <w:t>w</w:t>
      </w:r>
      <w:r w:rsidR="002C372E" w:rsidRPr="00B73626">
        <w:t xml:space="preserve">ho are directors </w:t>
      </w:r>
      <w:r w:rsidR="00064D71">
        <w:t xml:space="preserve">or equivalent </w:t>
      </w:r>
      <w:r w:rsidR="002C372E" w:rsidRPr="00B73626">
        <w:t xml:space="preserve">of </w:t>
      </w:r>
      <w:r w:rsidR="008C57C6" w:rsidRPr="00B73626">
        <w:t>registered</w:t>
      </w:r>
      <w:r w:rsidR="002C372E" w:rsidRPr="00B73626">
        <w:t xml:space="preserve"> entities.  </w:t>
      </w:r>
    </w:p>
    <w:p w:rsidR="00B73626" w:rsidRPr="00B73626" w:rsidRDefault="00B73626" w:rsidP="006D01F1">
      <w:pPr>
        <w:pStyle w:val="ListParagraph"/>
        <w:spacing w:before="0"/>
        <w:ind w:left="357"/>
        <w:contextualSpacing w:val="0"/>
      </w:pPr>
    </w:p>
    <w:p w:rsidR="000840D7" w:rsidRPr="00B73626" w:rsidRDefault="00B73626" w:rsidP="006D01F1">
      <w:pPr>
        <w:pStyle w:val="ListParagraph"/>
        <w:spacing w:before="0"/>
        <w:ind w:left="357"/>
        <w:contextualSpacing w:val="0"/>
      </w:pPr>
      <w:r>
        <w:t>The suspension or removal of a ‘responsible person</w:t>
      </w:r>
      <w:r w:rsidR="000840D7" w:rsidRPr="00B73626">
        <w:t xml:space="preserve">’ </w:t>
      </w:r>
      <w:r w:rsidR="00144C39" w:rsidRPr="00B73626">
        <w:t xml:space="preserve">can have </w:t>
      </w:r>
      <w:r>
        <w:t xml:space="preserve">a </w:t>
      </w:r>
      <w:r w:rsidR="00144C39" w:rsidRPr="00B73626">
        <w:t xml:space="preserve">significant impact </w:t>
      </w:r>
      <w:r w:rsidR="00297B22" w:rsidRPr="00B73626">
        <w:t>o</w:t>
      </w:r>
      <w:r w:rsidR="00297B22">
        <w:t>n</w:t>
      </w:r>
      <w:r w:rsidR="00297B22" w:rsidRPr="00B73626">
        <w:t xml:space="preserve"> </w:t>
      </w:r>
      <w:r w:rsidR="008C57C6" w:rsidRPr="00B73626">
        <w:t xml:space="preserve">the </w:t>
      </w:r>
      <w:r w:rsidR="00DB51B6" w:rsidRPr="00B73626">
        <w:t xml:space="preserve">reputation of an entity. </w:t>
      </w:r>
      <w:r>
        <w:t xml:space="preserve"> </w:t>
      </w:r>
      <w:r w:rsidR="00DB51B6" w:rsidRPr="00B73626">
        <w:t>It is important the legislation includes</w:t>
      </w:r>
      <w:r w:rsidR="00144C39" w:rsidRPr="00B73626">
        <w:t xml:space="preserve"> provisions that give opportunity for persons</w:t>
      </w:r>
      <w:r w:rsidR="00DB51B6" w:rsidRPr="00B73626">
        <w:t xml:space="preserve"> who have been given notice by the Commission</w:t>
      </w:r>
      <w:r w:rsidR="00144C39" w:rsidRPr="00B73626">
        <w:t xml:space="preserve"> to be heard</w:t>
      </w:r>
      <w:r w:rsidR="00DB51B6" w:rsidRPr="00B73626">
        <w:t xml:space="preserve"> and to</w:t>
      </w:r>
      <w:r w:rsidR="00144C39" w:rsidRPr="00B73626">
        <w:t xml:space="preserve"> g</w:t>
      </w:r>
      <w:r w:rsidR="00DB51B6" w:rsidRPr="00B73626">
        <w:t xml:space="preserve">ive evidence to the Commission. </w:t>
      </w:r>
      <w:r w:rsidR="00064D71">
        <w:t xml:space="preserve"> </w:t>
      </w:r>
      <w:r w:rsidR="00DB51B6" w:rsidRPr="00B73626">
        <w:t>Sufficient p</w:t>
      </w:r>
      <w:r w:rsidR="00144C39" w:rsidRPr="00B73626">
        <w:t xml:space="preserve">ublic notice should also be given e.g. a month if a decision is taken to remove or discharge a trustee. </w:t>
      </w:r>
    </w:p>
    <w:p w:rsidR="0000736B" w:rsidRDefault="0000736B">
      <w:r>
        <w:br w:type="page"/>
      </w:r>
    </w:p>
    <w:p w:rsidR="0000736B" w:rsidRDefault="0000736B" w:rsidP="006D01F1">
      <w:pPr>
        <w:pStyle w:val="ListParagraph"/>
        <w:spacing w:before="0"/>
        <w:ind w:left="357"/>
        <w:contextualSpacing w:val="0"/>
      </w:pPr>
    </w:p>
    <w:p w:rsidR="00B73626" w:rsidRPr="0091233F" w:rsidRDefault="00B73626" w:rsidP="006D01F1">
      <w:pPr>
        <w:pStyle w:val="ListParagraph"/>
        <w:spacing w:before="0" w:after="120"/>
        <w:ind w:left="363"/>
        <w:contextualSpacing w:val="0"/>
        <w:rPr>
          <w:b/>
        </w:rPr>
      </w:pPr>
      <w:r w:rsidRPr="0091233F">
        <w:rPr>
          <w:b/>
        </w:rPr>
        <w:t>Recommendations</w:t>
      </w:r>
    </w:p>
    <w:p w:rsidR="00B73626" w:rsidRDefault="00B73626" w:rsidP="006E11AD">
      <w:pPr>
        <w:pStyle w:val="ListParagraph"/>
        <w:numPr>
          <w:ilvl w:val="0"/>
          <w:numId w:val="33"/>
        </w:numPr>
        <w:spacing w:before="0" w:after="120"/>
      </w:pPr>
      <w:r>
        <w:t>The obligations of the responsible person within a not-for-profit should be appropriate to their role within the organisation and be limited to those acting as directors or equivalent.</w:t>
      </w:r>
    </w:p>
    <w:p w:rsidR="00B053DF" w:rsidRPr="00B73626" w:rsidRDefault="00B053DF" w:rsidP="00B053DF">
      <w:pPr>
        <w:spacing w:before="0"/>
        <w:ind w:left="0"/>
      </w:pPr>
    </w:p>
    <w:p w:rsidR="00B053DF" w:rsidRPr="00B73626" w:rsidRDefault="00B053DF" w:rsidP="001140EF">
      <w:pPr>
        <w:pStyle w:val="ListParagraph"/>
        <w:numPr>
          <w:ilvl w:val="0"/>
          <w:numId w:val="3"/>
        </w:numPr>
        <w:spacing w:before="0"/>
        <w:contextualSpacing w:val="0"/>
        <w:rPr>
          <w:b/>
        </w:rPr>
      </w:pPr>
      <w:r w:rsidRPr="00B73626">
        <w:rPr>
          <w:b/>
        </w:rPr>
        <w:t>Scope of regulatory powers</w:t>
      </w:r>
    </w:p>
    <w:p w:rsidR="00B053DF" w:rsidRPr="00B73626" w:rsidRDefault="00B053DF" w:rsidP="00B053DF">
      <w:pPr>
        <w:spacing w:before="0"/>
        <w:ind w:left="720"/>
      </w:pPr>
    </w:p>
    <w:p w:rsidR="00B053DF" w:rsidRPr="00B73626" w:rsidRDefault="00B73626" w:rsidP="006D01F1">
      <w:pPr>
        <w:spacing w:before="0"/>
      </w:pPr>
      <w:r>
        <w:t xml:space="preserve">CCA is concerned that there are </w:t>
      </w:r>
      <w:r w:rsidR="00B053DF" w:rsidRPr="00B73626">
        <w:t xml:space="preserve">clauses in the draft legislation that </w:t>
      </w:r>
      <w:r>
        <w:t xml:space="preserve">provide </w:t>
      </w:r>
      <w:r w:rsidR="00B053DF" w:rsidRPr="00B73626">
        <w:t>ground</w:t>
      </w:r>
      <w:r>
        <w:t>s</w:t>
      </w:r>
      <w:r w:rsidR="00B053DF" w:rsidRPr="00B73626">
        <w:t xml:space="preserve"> for </w:t>
      </w:r>
      <w:r w:rsidR="00B053DF" w:rsidRPr="00B73626">
        <w:rPr>
          <w:i/>
        </w:rPr>
        <w:t xml:space="preserve">‘revoking a </w:t>
      </w:r>
      <w:r w:rsidR="008B10B4" w:rsidRPr="00B73626">
        <w:rPr>
          <w:i/>
        </w:rPr>
        <w:t>registration</w:t>
      </w:r>
      <w:r w:rsidR="00B053DF" w:rsidRPr="00B73626">
        <w:rPr>
          <w:i/>
        </w:rPr>
        <w:t>’</w:t>
      </w:r>
      <w:r w:rsidR="00B053DF" w:rsidRPr="00B73626">
        <w:t xml:space="preserve"> (clause 10-55 (1</w:t>
      </w:r>
      <w:r w:rsidR="002B5E63" w:rsidRPr="00B73626">
        <w:t>) (</w:t>
      </w:r>
      <w:r w:rsidR="00B053DF" w:rsidRPr="00B73626">
        <w:t>e)</w:t>
      </w:r>
      <w:r w:rsidR="002B5E63" w:rsidRPr="00B73626">
        <w:t>)</w:t>
      </w:r>
      <w:r w:rsidR="00B053DF" w:rsidRPr="00B73626">
        <w:t xml:space="preserve"> if an entity </w:t>
      </w:r>
      <w:r w:rsidR="00B053DF" w:rsidRPr="00B73626">
        <w:rPr>
          <w:i/>
        </w:rPr>
        <w:t>‘may cause harm to, or jeopardise, the public trust and confidence mentioned’</w:t>
      </w:r>
      <w:r w:rsidR="00B053DF" w:rsidRPr="00B73626">
        <w:t xml:space="preserve"> in the object of the Act. </w:t>
      </w:r>
      <w:r w:rsidR="00630F05">
        <w:t xml:space="preserve"> This appears to be </w:t>
      </w:r>
      <w:r w:rsidR="00B053DF" w:rsidRPr="00B73626">
        <w:t xml:space="preserve">too low a threshold for regulatory responses and action that may lead to </w:t>
      </w:r>
      <w:proofErr w:type="gramStart"/>
      <w:r w:rsidR="00B053DF" w:rsidRPr="00B73626">
        <w:t>the de-registration</w:t>
      </w:r>
      <w:proofErr w:type="gramEnd"/>
      <w:r w:rsidR="00B053DF" w:rsidRPr="00B73626">
        <w:t xml:space="preserve"> of charities. </w:t>
      </w:r>
      <w:r w:rsidR="00630F05">
        <w:t xml:space="preserve"> It is preferable that the clause identifies </w:t>
      </w:r>
      <w:r w:rsidR="002B5E63" w:rsidRPr="00B73626">
        <w:t xml:space="preserve">the </w:t>
      </w:r>
      <w:r w:rsidR="00B053DF" w:rsidRPr="00B73626">
        <w:t xml:space="preserve">level of </w:t>
      </w:r>
      <w:r w:rsidR="00630F05">
        <w:t xml:space="preserve">inappropriate </w:t>
      </w:r>
      <w:r w:rsidR="008B10B4" w:rsidRPr="00B73626">
        <w:t>activity or misconduct</w:t>
      </w:r>
      <w:r w:rsidR="00630F05">
        <w:t xml:space="preserve"> that may</w:t>
      </w:r>
      <w:r w:rsidR="00B053DF" w:rsidRPr="00B73626">
        <w:t xml:space="preserve"> trigger such </w:t>
      </w:r>
      <w:r w:rsidR="00630F05">
        <w:t xml:space="preserve">extreme </w:t>
      </w:r>
      <w:r w:rsidR="00B053DF" w:rsidRPr="00B73626">
        <w:t>action by ACNC.</w:t>
      </w:r>
      <w:r w:rsidR="00630F05">
        <w:t xml:space="preserve">  Some of the factors that may need to be referred to or taken into account include repeated n</w:t>
      </w:r>
      <w:r w:rsidR="00630F05" w:rsidRPr="00B73626">
        <w:t xml:space="preserve">on-compliance, insolvency, </w:t>
      </w:r>
      <w:r w:rsidR="00630F05">
        <w:t xml:space="preserve">repeated </w:t>
      </w:r>
      <w:r w:rsidR="00630F05" w:rsidRPr="00B73626">
        <w:t xml:space="preserve">false or misleading information, </w:t>
      </w:r>
      <w:r w:rsidR="00630F05">
        <w:t xml:space="preserve">and </w:t>
      </w:r>
      <w:r w:rsidR="00630F05" w:rsidRPr="00B73626">
        <w:t>ceasing to exist</w:t>
      </w:r>
      <w:r w:rsidR="00630F05">
        <w:t>.</w:t>
      </w:r>
      <w:r w:rsidR="00630F05" w:rsidRPr="00B73626">
        <w:t xml:space="preserve"> </w:t>
      </w:r>
      <w:r w:rsidR="00B053DF" w:rsidRPr="00B73626">
        <w:t xml:space="preserve"> </w:t>
      </w:r>
    </w:p>
    <w:p w:rsidR="008F3622" w:rsidRPr="00B73626" w:rsidRDefault="008F3622" w:rsidP="006D01F1">
      <w:pPr>
        <w:pStyle w:val="ListParagraph"/>
        <w:spacing w:before="0"/>
        <w:ind w:left="357"/>
        <w:contextualSpacing w:val="0"/>
      </w:pPr>
    </w:p>
    <w:p w:rsidR="008F3622" w:rsidRPr="00B73626" w:rsidRDefault="008F3622" w:rsidP="006D01F1">
      <w:pPr>
        <w:pStyle w:val="ListParagraph"/>
        <w:spacing w:before="0"/>
        <w:ind w:left="357"/>
        <w:contextualSpacing w:val="0"/>
      </w:pPr>
      <w:r w:rsidRPr="00B73626">
        <w:t xml:space="preserve">The </w:t>
      </w:r>
      <w:r w:rsidR="00630F05">
        <w:t xml:space="preserve">proposed </w:t>
      </w:r>
      <w:r w:rsidRPr="00B73626">
        <w:t xml:space="preserve">regulator could also have the legal power to deregister entities for minor breaches of the Act or directions given by the regulator under Division 140. </w:t>
      </w:r>
      <w:r w:rsidR="00630F05">
        <w:t xml:space="preserve"> </w:t>
      </w:r>
      <w:r w:rsidRPr="00B73626">
        <w:t xml:space="preserve">Again, significant failure and ongoing </w:t>
      </w:r>
      <w:r w:rsidR="00630F05" w:rsidRPr="00B73626">
        <w:t>misdemeanours</w:t>
      </w:r>
      <w:r w:rsidRPr="00B73626">
        <w:t xml:space="preserve"> should be grounds for action to deregister by the regulator, not one-off breaches of the Act. </w:t>
      </w:r>
      <w:r w:rsidR="00630F05">
        <w:t xml:space="preserve"> </w:t>
      </w:r>
      <w:r w:rsidRPr="00B73626">
        <w:t xml:space="preserve">Even if this is not the intention of the legislation, it is starting with a low threshold and giving the regulator very broad powers. </w:t>
      </w:r>
    </w:p>
    <w:p w:rsidR="008F3622" w:rsidRPr="00B73626" w:rsidRDefault="008F3622" w:rsidP="006D01F1">
      <w:pPr>
        <w:pStyle w:val="ListParagraph"/>
        <w:spacing w:before="0"/>
        <w:ind w:left="357"/>
        <w:contextualSpacing w:val="0"/>
      </w:pPr>
    </w:p>
    <w:p w:rsidR="008F3622" w:rsidRPr="00B73626" w:rsidRDefault="007A6A14" w:rsidP="006D01F1">
      <w:pPr>
        <w:pStyle w:val="ListParagraph"/>
        <w:spacing w:before="0"/>
        <w:ind w:left="357"/>
        <w:contextualSpacing w:val="0"/>
      </w:pPr>
      <w:r w:rsidRPr="00B73626">
        <w:t>D</w:t>
      </w:r>
      <w:r w:rsidR="008F3622" w:rsidRPr="00B73626">
        <w:t xml:space="preserve">eregistration of organisations which become insolvent </w:t>
      </w:r>
      <w:r w:rsidR="008173A6" w:rsidRPr="00B73626">
        <w:t xml:space="preserve">also </w:t>
      </w:r>
      <w:r w:rsidR="00630F05">
        <w:t xml:space="preserve">has the potential to </w:t>
      </w:r>
      <w:r w:rsidR="008173A6" w:rsidRPr="00B73626">
        <w:t xml:space="preserve">put charitable assets at risk. </w:t>
      </w:r>
      <w:r w:rsidR="00630F05">
        <w:t xml:space="preserve"> </w:t>
      </w:r>
      <w:r w:rsidR="008173A6" w:rsidRPr="00B73626">
        <w:t xml:space="preserve">The focus should be on enabling the appointment of </w:t>
      </w:r>
      <w:r w:rsidRPr="00B73626">
        <w:t>administrators</w:t>
      </w:r>
      <w:r w:rsidR="008173A6" w:rsidRPr="00B73626">
        <w:t xml:space="preserve"> in the case of insolvency, and not automatic deregistration </w:t>
      </w:r>
      <w:r w:rsidR="0000736B">
        <w:t xml:space="preserve">which </w:t>
      </w:r>
      <w:r w:rsidR="00630F05">
        <w:t>put</w:t>
      </w:r>
      <w:r w:rsidR="0000736B">
        <w:t>s</w:t>
      </w:r>
      <w:r w:rsidR="00630F05">
        <w:t xml:space="preserve"> </w:t>
      </w:r>
      <w:r w:rsidR="0000736B">
        <w:t xml:space="preserve">the work and </w:t>
      </w:r>
      <w:r w:rsidR="008173A6" w:rsidRPr="00B73626">
        <w:t>assets of charities</w:t>
      </w:r>
      <w:r w:rsidR="00630F05">
        <w:t xml:space="preserve"> at risk</w:t>
      </w:r>
      <w:r w:rsidR="008173A6" w:rsidRPr="00B73626">
        <w:t xml:space="preserve">. </w:t>
      </w:r>
    </w:p>
    <w:p w:rsidR="000B734E" w:rsidRPr="00B73626" w:rsidRDefault="005C23B8" w:rsidP="006D01F1">
      <w:pPr>
        <w:spacing w:before="0"/>
        <w:ind w:left="0"/>
      </w:pPr>
      <w:r w:rsidRPr="00B73626">
        <w:t xml:space="preserve"> </w:t>
      </w:r>
    </w:p>
    <w:p w:rsidR="00630F05" w:rsidRPr="0091233F" w:rsidRDefault="00630F05" w:rsidP="006D01F1">
      <w:pPr>
        <w:pStyle w:val="ListParagraph"/>
        <w:spacing w:before="0" w:after="120"/>
        <w:ind w:left="363"/>
        <w:contextualSpacing w:val="0"/>
        <w:rPr>
          <w:b/>
        </w:rPr>
      </w:pPr>
      <w:r w:rsidRPr="0091233F">
        <w:rPr>
          <w:b/>
        </w:rPr>
        <w:t>Recommendations</w:t>
      </w:r>
    </w:p>
    <w:p w:rsidR="000E0825" w:rsidRDefault="00630F05" w:rsidP="006E11AD">
      <w:pPr>
        <w:pStyle w:val="ListParagraph"/>
        <w:numPr>
          <w:ilvl w:val="0"/>
          <w:numId w:val="33"/>
        </w:numPr>
        <w:spacing w:before="0" w:after="120"/>
      </w:pPr>
      <w:r>
        <w:t xml:space="preserve">The capacity to revoke </w:t>
      </w:r>
      <w:r w:rsidR="000E0825">
        <w:t xml:space="preserve">the </w:t>
      </w:r>
      <w:r>
        <w:t xml:space="preserve">registration </w:t>
      </w:r>
      <w:r w:rsidR="00064D71">
        <w:t>of a</w:t>
      </w:r>
      <w:r w:rsidR="000E0825">
        <w:t xml:space="preserve"> not-for-profit </w:t>
      </w:r>
      <w:r>
        <w:t xml:space="preserve">needs to be framed by a commitment to procedural </w:t>
      </w:r>
      <w:r w:rsidR="000E0825">
        <w:t>fairness, appropriate scaling of sanctions, and transparency of de-registration requirements.</w:t>
      </w:r>
    </w:p>
    <w:p w:rsidR="003F1B2B" w:rsidRPr="00626448" w:rsidRDefault="003F1B2B" w:rsidP="00EB2212">
      <w:pPr>
        <w:pStyle w:val="ListParagraph"/>
        <w:spacing w:before="0"/>
        <w:ind w:left="1071"/>
        <w:contextualSpacing w:val="0"/>
        <w:rPr>
          <w:b/>
        </w:rPr>
      </w:pPr>
    </w:p>
    <w:p w:rsidR="003F1B2B" w:rsidRDefault="003F1B2B" w:rsidP="001140EF">
      <w:pPr>
        <w:pStyle w:val="ListParagraph"/>
        <w:numPr>
          <w:ilvl w:val="0"/>
          <w:numId w:val="3"/>
        </w:numPr>
        <w:spacing w:before="0"/>
        <w:contextualSpacing w:val="0"/>
        <w:rPr>
          <w:b/>
        </w:rPr>
      </w:pPr>
      <w:r w:rsidRPr="00626448">
        <w:rPr>
          <w:b/>
        </w:rPr>
        <w:t>Risk management and insurance</w:t>
      </w:r>
    </w:p>
    <w:p w:rsidR="000E0825" w:rsidRDefault="000E0825" w:rsidP="000E0825">
      <w:pPr>
        <w:pStyle w:val="ListParagraph"/>
        <w:spacing w:before="0"/>
        <w:ind w:left="1071"/>
        <w:contextualSpacing w:val="0"/>
        <w:rPr>
          <w:b/>
        </w:rPr>
      </w:pPr>
    </w:p>
    <w:p w:rsidR="000E0825" w:rsidRDefault="000E0825" w:rsidP="006D01F1">
      <w:pPr>
        <w:pStyle w:val="ListParagraph"/>
        <w:spacing w:before="0"/>
        <w:ind w:left="357"/>
        <w:contextualSpacing w:val="0"/>
      </w:pPr>
      <w:r w:rsidRPr="000E0825">
        <w:t>The issue of appropriate risk management and insurance should not be a separate requirement.  Good governance principles may include guidelines about ensuring the management of larger not-for-profit organisations take account of such factors in governance and management decisions.  There should be no prescribed level of insurance and no requirement for the development of ris</w:t>
      </w:r>
      <w:r>
        <w:t xml:space="preserve">k analysis implementation plans.  Most not-for-profit organisations already have to manage both risk and insurance and the ways they </w:t>
      </w:r>
      <w:r w:rsidR="00064D71">
        <w:t>approach these requirements varies</w:t>
      </w:r>
      <w:r>
        <w:t xml:space="preserve"> considerably according to the organisation, its purpose and activities.</w:t>
      </w:r>
    </w:p>
    <w:p w:rsidR="0000736B" w:rsidRPr="000E0825" w:rsidRDefault="0000736B" w:rsidP="006D01F1">
      <w:pPr>
        <w:pStyle w:val="ListParagraph"/>
        <w:spacing w:before="0"/>
        <w:ind w:left="357"/>
        <w:contextualSpacing w:val="0"/>
      </w:pPr>
    </w:p>
    <w:p w:rsidR="00AE5841" w:rsidRPr="0091233F" w:rsidRDefault="0000736B" w:rsidP="0000736B">
      <w:pPr>
        <w:pStyle w:val="ListParagraph"/>
        <w:spacing w:before="0" w:after="120"/>
        <w:ind w:left="363"/>
        <w:contextualSpacing w:val="0"/>
        <w:rPr>
          <w:b/>
        </w:rPr>
      </w:pPr>
      <w:r w:rsidRPr="0000736B">
        <w:rPr>
          <w:b/>
        </w:rPr>
        <w:t>R</w:t>
      </w:r>
      <w:r w:rsidR="00AE5841" w:rsidRPr="0091233F">
        <w:rPr>
          <w:b/>
        </w:rPr>
        <w:t>ecommendations</w:t>
      </w:r>
    </w:p>
    <w:p w:rsidR="000E0825" w:rsidRPr="000E0825" w:rsidRDefault="000E0825" w:rsidP="006E11AD">
      <w:pPr>
        <w:pStyle w:val="ListParagraph"/>
        <w:numPr>
          <w:ilvl w:val="0"/>
          <w:numId w:val="33"/>
        </w:numPr>
        <w:spacing w:before="0"/>
        <w:contextualSpacing w:val="0"/>
      </w:pPr>
      <w:r>
        <w:t xml:space="preserve">Risk management and insurance may be alluded to in </w:t>
      </w:r>
      <w:r w:rsidR="00AE5841">
        <w:t xml:space="preserve">the ACNC </w:t>
      </w:r>
      <w:r>
        <w:t>governance principles but should not be a separate requirement.</w:t>
      </w:r>
      <w:r w:rsidRPr="000E0825">
        <w:t xml:space="preserve"> </w:t>
      </w:r>
    </w:p>
    <w:p w:rsidR="00064D71" w:rsidRDefault="00064D71">
      <w:pPr>
        <w:rPr>
          <w:b/>
        </w:rPr>
      </w:pPr>
    </w:p>
    <w:p w:rsidR="00974869" w:rsidRPr="00626448" w:rsidRDefault="00974869" w:rsidP="004925FF">
      <w:pPr>
        <w:pStyle w:val="ListParagraph"/>
        <w:spacing w:before="0"/>
        <w:ind w:left="1071"/>
        <w:contextualSpacing w:val="0"/>
        <w:rPr>
          <w:b/>
        </w:rPr>
      </w:pPr>
    </w:p>
    <w:p w:rsidR="00AE5841" w:rsidRDefault="00DD4C88" w:rsidP="001140EF">
      <w:pPr>
        <w:pStyle w:val="ListParagraph"/>
        <w:numPr>
          <w:ilvl w:val="0"/>
          <w:numId w:val="3"/>
        </w:numPr>
        <w:spacing w:before="0"/>
        <w:contextualSpacing w:val="0"/>
        <w:rPr>
          <w:b/>
        </w:rPr>
      </w:pPr>
      <w:r w:rsidRPr="00626448">
        <w:rPr>
          <w:b/>
        </w:rPr>
        <w:t xml:space="preserve">Financial transparency </w:t>
      </w:r>
    </w:p>
    <w:p w:rsidR="00AE5841" w:rsidRPr="00AE5841" w:rsidRDefault="00AE5841" w:rsidP="00AE5841">
      <w:pPr>
        <w:pStyle w:val="ListParagraph"/>
        <w:spacing w:before="0"/>
        <w:ind w:left="1071"/>
        <w:contextualSpacing w:val="0"/>
      </w:pPr>
    </w:p>
    <w:p w:rsidR="00AE5841" w:rsidRPr="00AE5841" w:rsidRDefault="00AE5841" w:rsidP="006D01F1">
      <w:pPr>
        <w:pStyle w:val="ListParagraph"/>
        <w:spacing w:before="0"/>
        <w:ind w:left="357"/>
        <w:contextualSpacing w:val="0"/>
      </w:pPr>
      <w:r w:rsidRPr="00AE5841">
        <w:t xml:space="preserve">The focus of the regulator’s function should be to protect the assets of charities, to ensure the assets are used to meet the charity’s purpose, to protect the interests of members and those who are the beneficiaries of charity’s activities, and provide a level of transparency about the financial operations of larger not-for-profit organisations. </w:t>
      </w:r>
    </w:p>
    <w:p w:rsidR="00AE5841" w:rsidRPr="00AE5841" w:rsidRDefault="00AE5841" w:rsidP="006D01F1">
      <w:pPr>
        <w:spacing w:before="0"/>
      </w:pPr>
    </w:p>
    <w:p w:rsidR="00AE5841" w:rsidRPr="00AE5841" w:rsidRDefault="00AE5841" w:rsidP="006D01F1">
      <w:pPr>
        <w:spacing w:before="0"/>
      </w:pPr>
      <w:r w:rsidRPr="00AE5841">
        <w:t>Wherever possible the use of one audited report should satisfy financial reporting requirements, particularly for larger not-for-profit organisations.  Similarly this audited report should form the basis of public reporting and multiple reporting to other government agencies.</w:t>
      </w:r>
    </w:p>
    <w:p w:rsidR="00AE5841" w:rsidRPr="00AE5841" w:rsidRDefault="00AE5841" w:rsidP="006D01F1">
      <w:pPr>
        <w:pStyle w:val="ListParagraph"/>
        <w:spacing w:before="0"/>
        <w:ind w:left="357"/>
        <w:contextualSpacing w:val="0"/>
      </w:pPr>
    </w:p>
    <w:p w:rsidR="007A6A14" w:rsidRPr="00AE5841" w:rsidRDefault="007A6A14" w:rsidP="006D01F1">
      <w:pPr>
        <w:pStyle w:val="ListParagraph"/>
        <w:spacing w:before="0"/>
        <w:ind w:left="357"/>
        <w:contextualSpacing w:val="0"/>
      </w:pPr>
      <w:r w:rsidRPr="00AE5841">
        <w:t xml:space="preserve">The regulator should not have broad powers to impose their own view on how an organisation should </w:t>
      </w:r>
      <w:r w:rsidR="00AE5841" w:rsidRPr="00AE5841">
        <w:t xml:space="preserve">allocate funding or </w:t>
      </w:r>
      <w:r w:rsidRPr="00AE5841">
        <w:t>pur</w:t>
      </w:r>
      <w:r w:rsidR="00AE5841" w:rsidRPr="00AE5841">
        <w:t>sue</w:t>
      </w:r>
      <w:r w:rsidRPr="00AE5841">
        <w:t xml:space="preserve"> its purpose</w:t>
      </w:r>
      <w:r w:rsidR="00AE5841" w:rsidRPr="00AE5841">
        <w:t>.</w:t>
      </w:r>
      <w:r w:rsidR="00C9789D" w:rsidRPr="00AE5841">
        <w:t xml:space="preserve"> </w:t>
      </w:r>
      <w:r w:rsidR="00AE5841" w:rsidRPr="00AE5841">
        <w:t xml:space="preserve"> </w:t>
      </w:r>
      <w:r w:rsidR="00C9789D" w:rsidRPr="00AE5841">
        <w:t xml:space="preserve">There is no </w:t>
      </w:r>
      <w:r w:rsidR="00AE5841" w:rsidRPr="00AE5841">
        <w:t xml:space="preserve">equivalent </w:t>
      </w:r>
      <w:r w:rsidR="00C9789D" w:rsidRPr="00AE5841">
        <w:t xml:space="preserve">provision </w:t>
      </w:r>
      <w:r w:rsidR="00AE5841" w:rsidRPr="00AE5841">
        <w:t>in the Corporations Act.  T</w:t>
      </w:r>
      <w:r w:rsidR="00E3792F" w:rsidRPr="00AE5841">
        <w:t xml:space="preserve">here should </w:t>
      </w:r>
      <w:r w:rsidR="00AE5841" w:rsidRPr="00AE5841">
        <w:t xml:space="preserve">also </w:t>
      </w:r>
      <w:r w:rsidR="00E3792F" w:rsidRPr="00AE5841">
        <w:t xml:space="preserve">be respect of the principles of network governance that enable charities to enter unique relationships with business and other partners to achieve social impacts. </w:t>
      </w:r>
    </w:p>
    <w:p w:rsidR="00582F3B" w:rsidRDefault="00582F3B" w:rsidP="006D01F1">
      <w:pPr>
        <w:pStyle w:val="ListParagraph"/>
        <w:spacing w:before="0"/>
        <w:ind w:left="357"/>
        <w:contextualSpacing w:val="0"/>
        <w:rPr>
          <w:b/>
        </w:rPr>
      </w:pPr>
    </w:p>
    <w:p w:rsidR="004D1886" w:rsidRPr="0091233F" w:rsidRDefault="004D1886" w:rsidP="006D01F1">
      <w:pPr>
        <w:pStyle w:val="ListParagraph"/>
        <w:spacing w:before="0" w:after="120"/>
        <w:ind w:left="363"/>
        <w:contextualSpacing w:val="0"/>
        <w:rPr>
          <w:b/>
        </w:rPr>
      </w:pPr>
      <w:r w:rsidRPr="0091233F">
        <w:rPr>
          <w:b/>
        </w:rPr>
        <w:t>Recommendations</w:t>
      </w:r>
    </w:p>
    <w:p w:rsidR="00AE5841" w:rsidRPr="004D1886" w:rsidRDefault="004D1886" w:rsidP="006E11AD">
      <w:pPr>
        <w:pStyle w:val="ListParagraph"/>
        <w:numPr>
          <w:ilvl w:val="0"/>
          <w:numId w:val="33"/>
        </w:numPr>
        <w:spacing w:before="0"/>
        <w:contextualSpacing w:val="0"/>
      </w:pPr>
      <w:r w:rsidRPr="004D1886">
        <w:t xml:space="preserve">Financial reporting should be based on the current procedures within not-for-profit organisations. </w:t>
      </w:r>
    </w:p>
    <w:p w:rsidR="004D1886" w:rsidRPr="004D1886" w:rsidRDefault="004D1886" w:rsidP="00582F3B">
      <w:pPr>
        <w:pStyle w:val="ListParagraph"/>
        <w:spacing w:before="0"/>
        <w:ind w:left="1071"/>
        <w:contextualSpacing w:val="0"/>
      </w:pPr>
    </w:p>
    <w:p w:rsidR="004D1886" w:rsidRDefault="004D1886" w:rsidP="006E11AD">
      <w:pPr>
        <w:pStyle w:val="ListParagraph"/>
        <w:numPr>
          <w:ilvl w:val="0"/>
          <w:numId w:val="33"/>
        </w:numPr>
        <w:spacing w:before="0"/>
        <w:contextualSpacing w:val="0"/>
      </w:pPr>
      <w:r w:rsidRPr="004D1886">
        <w:t>For larger organisations, one annual financial report should meet all the ACNC requirements.</w:t>
      </w:r>
    </w:p>
    <w:p w:rsidR="00621FEA" w:rsidRDefault="00621FEA" w:rsidP="00621FEA">
      <w:pPr>
        <w:pStyle w:val="ListParagraph"/>
      </w:pPr>
    </w:p>
    <w:p w:rsidR="00621FEA" w:rsidRPr="004D1886" w:rsidRDefault="00621FEA" w:rsidP="006E11AD">
      <w:pPr>
        <w:pStyle w:val="ListParagraph"/>
        <w:numPr>
          <w:ilvl w:val="0"/>
          <w:numId w:val="33"/>
        </w:numPr>
        <w:spacing w:before="0"/>
        <w:contextualSpacing w:val="0"/>
      </w:pPr>
      <w:r>
        <w:t xml:space="preserve">Any requirements to report on fundraising or commercial activities should </w:t>
      </w:r>
      <w:r w:rsidR="00242CB6">
        <w:t xml:space="preserve">be </w:t>
      </w:r>
      <w:r>
        <w:t>incorporated into the one financial report.</w:t>
      </w:r>
    </w:p>
    <w:p w:rsidR="00AE5841" w:rsidRDefault="00AE5841" w:rsidP="00582F3B">
      <w:pPr>
        <w:pStyle w:val="ListParagraph"/>
        <w:spacing w:before="0"/>
        <w:ind w:left="1071"/>
        <w:contextualSpacing w:val="0"/>
        <w:rPr>
          <w:b/>
        </w:rPr>
      </w:pPr>
    </w:p>
    <w:p w:rsidR="00AE5841" w:rsidRPr="00626448" w:rsidRDefault="00AE5841" w:rsidP="00582F3B">
      <w:pPr>
        <w:pStyle w:val="ListParagraph"/>
        <w:spacing w:before="0"/>
        <w:ind w:left="1071"/>
        <w:contextualSpacing w:val="0"/>
        <w:rPr>
          <w:b/>
        </w:rPr>
      </w:pPr>
    </w:p>
    <w:p w:rsidR="004D1886" w:rsidRDefault="00D76C3C" w:rsidP="001140EF">
      <w:pPr>
        <w:pStyle w:val="ListParagraph"/>
        <w:numPr>
          <w:ilvl w:val="0"/>
          <w:numId w:val="3"/>
        </w:numPr>
        <w:spacing w:before="0"/>
        <w:contextualSpacing w:val="0"/>
        <w:rPr>
          <w:b/>
        </w:rPr>
      </w:pPr>
      <w:r w:rsidRPr="00626448">
        <w:rPr>
          <w:b/>
        </w:rPr>
        <w:t xml:space="preserve">Duplication </w:t>
      </w:r>
      <w:r w:rsidR="00DD4C88" w:rsidRPr="00626448">
        <w:rPr>
          <w:b/>
        </w:rPr>
        <w:t>of reporting</w:t>
      </w:r>
    </w:p>
    <w:p w:rsidR="004D1886" w:rsidRPr="004D1886" w:rsidRDefault="004D1886" w:rsidP="006D01F1">
      <w:pPr>
        <w:pStyle w:val="ListParagraph"/>
        <w:spacing w:before="0"/>
        <w:ind w:left="1440"/>
        <w:contextualSpacing w:val="0"/>
      </w:pPr>
    </w:p>
    <w:p w:rsidR="004D1886" w:rsidRPr="004D1886" w:rsidRDefault="004D1886" w:rsidP="006D01F1">
      <w:pPr>
        <w:pStyle w:val="ListParagraph"/>
        <w:spacing w:before="0"/>
        <w:ind w:left="375"/>
        <w:contextualSpacing w:val="0"/>
      </w:pPr>
      <w:r w:rsidRPr="004D1886">
        <w:t>It is fundamental to the enhancement of the role and function of not-for-profit organisations that duplication of reporting be eliminated wherever possible.</w:t>
      </w:r>
      <w:r w:rsidR="00621FEA">
        <w:t xml:space="preserve">  </w:t>
      </w:r>
      <w:r w:rsidRPr="004D1886">
        <w:t>This will require considerable work with State and Territory authorities as well as working across the Federal government.</w:t>
      </w:r>
      <w:r w:rsidR="00621FEA">
        <w:t xml:space="preserve">  </w:t>
      </w:r>
      <w:r w:rsidRPr="004D1886">
        <w:t xml:space="preserve">The goal of the ACNC will only be </w:t>
      </w:r>
      <w:r w:rsidR="00242CB6">
        <w:t>achieved</w:t>
      </w:r>
      <w:r w:rsidRPr="004D1886">
        <w:t xml:space="preserve"> when reporting requirements on all not-for-profit organisations are actually reduced.</w:t>
      </w:r>
    </w:p>
    <w:p w:rsidR="004D1886" w:rsidRDefault="004D1886" w:rsidP="006D01F1">
      <w:pPr>
        <w:pStyle w:val="ListParagraph"/>
        <w:spacing w:before="0"/>
        <w:ind w:left="375"/>
        <w:contextualSpacing w:val="0"/>
        <w:rPr>
          <w:b/>
        </w:rPr>
      </w:pPr>
    </w:p>
    <w:p w:rsidR="00621FEA" w:rsidRPr="0091233F" w:rsidRDefault="00621FEA" w:rsidP="006D01F1">
      <w:pPr>
        <w:pStyle w:val="ListParagraph"/>
        <w:spacing w:before="0" w:after="120"/>
        <w:ind w:left="381"/>
        <w:contextualSpacing w:val="0"/>
        <w:rPr>
          <w:b/>
        </w:rPr>
      </w:pPr>
      <w:r w:rsidRPr="0091233F">
        <w:rPr>
          <w:b/>
        </w:rPr>
        <w:t>Recommendations</w:t>
      </w:r>
    </w:p>
    <w:p w:rsidR="00621FEA" w:rsidRPr="004D1886" w:rsidRDefault="00621FEA" w:rsidP="006D01F1">
      <w:pPr>
        <w:pStyle w:val="ListParagraph"/>
        <w:numPr>
          <w:ilvl w:val="0"/>
          <w:numId w:val="33"/>
        </w:numPr>
        <w:spacing w:before="0" w:after="120"/>
        <w:contextualSpacing w:val="0"/>
      </w:pPr>
      <w:r>
        <w:t>The ACNC must work to reduce duplication of not-for-profit reporting requirements across State and Territory governments, and across all Federal government departments.  This includes duplication of reporting to the ACNC and the ATO which should be eliminated as a priority first step.</w:t>
      </w:r>
      <w:r w:rsidRPr="004D1886">
        <w:t xml:space="preserve"> </w:t>
      </w:r>
    </w:p>
    <w:p w:rsidR="002C372E" w:rsidRDefault="004D1886" w:rsidP="00621FEA">
      <w:pPr>
        <w:pStyle w:val="ListParagraph"/>
        <w:spacing w:before="0"/>
        <w:ind w:left="1071"/>
        <w:contextualSpacing w:val="0"/>
        <w:rPr>
          <w:b/>
        </w:rPr>
      </w:pPr>
      <w:r>
        <w:rPr>
          <w:b/>
        </w:rPr>
        <w:t xml:space="preserve"> </w:t>
      </w:r>
    </w:p>
    <w:p w:rsidR="002B0229" w:rsidRDefault="002B0229">
      <w:pPr>
        <w:rPr>
          <w:i/>
        </w:rPr>
      </w:pPr>
      <w:r>
        <w:rPr>
          <w:i/>
        </w:rPr>
        <w:br w:type="page"/>
      </w:r>
    </w:p>
    <w:p w:rsidR="006D01F1" w:rsidRDefault="006D01F1" w:rsidP="006D01F1">
      <w:pPr>
        <w:spacing w:before="0"/>
        <w:rPr>
          <w:i/>
        </w:rPr>
      </w:pPr>
    </w:p>
    <w:p w:rsidR="006D01F1" w:rsidRPr="00377482" w:rsidRDefault="006D01F1" w:rsidP="006D01F1">
      <w:pPr>
        <w:spacing w:before="0"/>
        <w:rPr>
          <w:rFonts w:asciiTheme="majorHAnsi" w:hAnsiTheme="majorHAnsi"/>
          <w:b/>
          <w:sz w:val="28"/>
          <w:szCs w:val="28"/>
        </w:rPr>
      </w:pPr>
      <w:r w:rsidRPr="00377482">
        <w:rPr>
          <w:rFonts w:asciiTheme="majorHAnsi" w:hAnsiTheme="majorHAnsi"/>
          <w:b/>
          <w:sz w:val="28"/>
          <w:szCs w:val="28"/>
        </w:rPr>
        <w:t>Conclusion</w:t>
      </w:r>
    </w:p>
    <w:p w:rsidR="006D01F1" w:rsidRPr="00377482" w:rsidRDefault="006D01F1" w:rsidP="006D01F1">
      <w:pPr>
        <w:spacing w:before="0"/>
      </w:pPr>
    </w:p>
    <w:p w:rsidR="002B0229" w:rsidRDefault="006D01F1" w:rsidP="00377482">
      <w:pPr>
        <w:spacing w:before="0"/>
      </w:pPr>
      <w:r w:rsidRPr="00377482">
        <w:t xml:space="preserve">The establishment of the ACNC is a wonderful opportunity for the not-for-profit sector and the broader community to benefit from a dedicated independent regulator committed to </w:t>
      </w:r>
      <w:r w:rsidR="00377482" w:rsidRPr="00377482">
        <w:t>enhancing</w:t>
      </w:r>
      <w:r w:rsidRPr="00377482">
        <w:t xml:space="preserve"> the </w:t>
      </w:r>
      <w:r w:rsidR="00377482" w:rsidRPr="00377482">
        <w:t xml:space="preserve">role of not-for-profit organisations in our communities. </w:t>
      </w:r>
      <w:r w:rsidR="00377482">
        <w:t xml:space="preserve"> </w:t>
      </w:r>
    </w:p>
    <w:p w:rsidR="002B0229" w:rsidRDefault="002B0229" w:rsidP="00377482">
      <w:pPr>
        <w:spacing w:before="0"/>
      </w:pPr>
    </w:p>
    <w:p w:rsidR="00377482" w:rsidRDefault="00377482" w:rsidP="00377482">
      <w:pPr>
        <w:spacing w:before="0"/>
      </w:pPr>
      <w:r w:rsidRPr="00377482">
        <w:t>The recommendations in this submission provide a platform for ensuring this opportunity is realised.</w:t>
      </w:r>
    </w:p>
    <w:p w:rsidR="002B0229" w:rsidRDefault="002B0229" w:rsidP="00377482">
      <w:pPr>
        <w:spacing w:before="0"/>
      </w:pPr>
    </w:p>
    <w:p w:rsidR="00B51D74" w:rsidRDefault="002B0229" w:rsidP="00377482">
      <w:pPr>
        <w:spacing w:before="0"/>
      </w:pPr>
      <w:r>
        <w:t xml:space="preserve">CCA will assess the </w:t>
      </w:r>
      <w:r w:rsidR="00242CB6">
        <w:t xml:space="preserve">proposed ACNC </w:t>
      </w:r>
      <w:r>
        <w:t>establish</w:t>
      </w:r>
      <w:r w:rsidR="00242CB6">
        <w:t>ing</w:t>
      </w:r>
      <w:r>
        <w:t xml:space="preserve"> legislation against each of the recommendations outlined </w:t>
      </w:r>
      <w:r w:rsidR="00242CB6">
        <w:t xml:space="preserve">in this submission </w:t>
      </w:r>
      <w:r>
        <w:t xml:space="preserve">with a view to seeking further amendment </w:t>
      </w:r>
      <w:r w:rsidR="00242CB6">
        <w:t>either prior to or as part of the process of passing the legislation through the Federal Parliament.</w:t>
      </w:r>
    </w:p>
    <w:p w:rsidR="00B51D74" w:rsidRDefault="00B51D74">
      <w:r>
        <w:br w:type="page"/>
      </w:r>
    </w:p>
    <w:p w:rsidR="002B0229" w:rsidRPr="00A6717D" w:rsidRDefault="00B51D74" w:rsidP="00A6717D">
      <w:pPr>
        <w:spacing w:before="0"/>
        <w:jc w:val="right"/>
        <w:rPr>
          <w:b/>
        </w:rPr>
      </w:pPr>
      <w:r w:rsidRPr="00A6717D">
        <w:rPr>
          <w:b/>
        </w:rPr>
        <w:lastRenderedPageBreak/>
        <w:t>Appendix 1</w:t>
      </w:r>
    </w:p>
    <w:p w:rsidR="00B51D74" w:rsidRPr="00C11E35" w:rsidRDefault="00B51D74" w:rsidP="00B51D74">
      <w:pPr>
        <w:pStyle w:val="NormalWeb"/>
        <w:spacing w:before="0" w:beforeAutospacing="0" w:after="0" w:afterAutospacing="0" w:line="360" w:lineRule="auto"/>
        <w:ind w:left="390"/>
        <w:rPr>
          <w:rFonts w:asciiTheme="minorHAnsi" w:hAnsiTheme="minorHAnsi" w:cstheme="minorHAnsi"/>
          <w:b/>
          <w:sz w:val="20"/>
          <w:szCs w:val="20"/>
          <w:u w:val="single"/>
        </w:rPr>
      </w:pPr>
      <w:r w:rsidRPr="00C11E35">
        <w:rPr>
          <w:rFonts w:asciiTheme="minorHAnsi" w:hAnsiTheme="minorHAnsi" w:cstheme="minorHAnsi"/>
          <w:b/>
          <w:sz w:val="20"/>
          <w:szCs w:val="20"/>
          <w:u w:val="single"/>
        </w:rPr>
        <w:t xml:space="preserve">Current Membership – Community Council for Australia </w:t>
      </w:r>
      <w:r w:rsidR="004E7DFF">
        <w:rPr>
          <w:rFonts w:asciiTheme="minorHAnsi" w:hAnsiTheme="minorHAnsi" w:cstheme="minorHAnsi"/>
          <w:b/>
          <w:sz w:val="20"/>
          <w:szCs w:val="20"/>
          <w:u w:val="single"/>
        </w:rPr>
        <w:t>(December</w:t>
      </w:r>
      <w:r>
        <w:rPr>
          <w:rFonts w:asciiTheme="minorHAnsi" w:hAnsiTheme="minorHAnsi" w:cstheme="minorHAnsi"/>
          <w:b/>
          <w:sz w:val="20"/>
          <w:szCs w:val="20"/>
          <w:u w:val="single"/>
        </w:rPr>
        <w:t xml:space="preserve"> 2011) </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Aboriginal Employment Strategy Ltd. – Danny Lester</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 xml:space="preserve">Alcohol and other Drugs Council of Australia – David </w:t>
      </w:r>
      <w:proofErr w:type="spellStart"/>
      <w:r w:rsidRPr="00A6717D">
        <w:rPr>
          <w:rFonts w:asciiTheme="minorHAnsi" w:hAnsiTheme="minorHAnsi" w:cstheme="minorHAnsi"/>
          <w:sz w:val="18"/>
          <w:szCs w:val="18"/>
        </w:rPr>
        <w:t>Templeman</w:t>
      </w:r>
      <w:proofErr w:type="spellEnd"/>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 xml:space="preserve">Alcohol Tobacco and Other Drugs Association ACT – Carrie </w:t>
      </w:r>
      <w:proofErr w:type="spellStart"/>
      <w:r w:rsidRPr="00A6717D">
        <w:rPr>
          <w:rFonts w:asciiTheme="minorHAnsi" w:hAnsiTheme="minorHAnsi" w:cstheme="minorHAnsi"/>
          <w:sz w:val="18"/>
          <w:szCs w:val="18"/>
        </w:rPr>
        <w:t>Fowlie</w:t>
      </w:r>
      <w:proofErr w:type="spellEnd"/>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Associations Forum Pty. Ltd – John Peacock</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 xml:space="preserve">Australian Indigenous Leadership Centre – Rachelle </w:t>
      </w:r>
      <w:proofErr w:type="spellStart"/>
      <w:r w:rsidRPr="00A6717D">
        <w:rPr>
          <w:rFonts w:asciiTheme="minorHAnsi" w:hAnsiTheme="minorHAnsi" w:cstheme="minorHAnsi"/>
          <w:sz w:val="18"/>
          <w:szCs w:val="18"/>
        </w:rPr>
        <w:t>Towart</w:t>
      </w:r>
      <w:proofErr w:type="spellEnd"/>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Australian Institute of Superannuation Trustees – Fiona Reynolds</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Australian Major Performing Arts Group – Susan Donnelly (Director)</w:t>
      </w:r>
    </w:p>
    <w:p w:rsidR="004E7DFF" w:rsidRPr="00A6717D" w:rsidRDefault="004E7DFF"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Church Communities Australia – Chris Voll</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Connecting Up Australia – Doug Jacquier</w:t>
      </w:r>
    </w:p>
    <w:p w:rsidR="004E7DFF"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Consumers Health Forum of Australia – Carol Bennett</w:t>
      </w:r>
    </w:p>
    <w:p w:rsidR="00B51D74" w:rsidRPr="00A6717D" w:rsidRDefault="004E7DFF"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Fundraising Institute of Australia – Rob Edwards</w:t>
      </w:r>
    </w:p>
    <w:p w:rsidR="004E7DFF" w:rsidRPr="00A6717D" w:rsidRDefault="004E7DFF"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Good Start Childcare – Julia Davison</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Good Beginnings Australia – Jayne Meyer Tucker (Director)</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proofErr w:type="spellStart"/>
      <w:r w:rsidRPr="00A6717D">
        <w:rPr>
          <w:rFonts w:asciiTheme="minorHAnsi" w:hAnsiTheme="minorHAnsi" w:cstheme="minorHAnsi"/>
          <w:sz w:val="18"/>
          <w:szCs w:val="18"/>
        </w:rPr>
        <w:t>HammondCare</w:t>
      </w:r>
      <w:proofErr w:type="spellEnd"/>
      <w:r w:rsidRPr="00A6717D">
        <w:rPr>
          <w:rFonts w:asciiTheme="minorHAnsi" w:hAnsiTheme="minorHAnsi" w:cstheme="minorHAnsi"/>
          <w:sz w:val="18"/>
          <w:szCs w:val="18"/>
        </w:rPr>
        <w:t xml:space="preserve"> – Stephen Judd (Director)</w:t>
      </w:r>
    </w:p>
    <w:p w:rsidR="004E7DFF" w:rsidRPr="00A6717D" w:rsidRDefault="004E7DFF"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HETA Incorporated – Sue Lea</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proofErr w:type="spellStart"/>
      <w:r w:rsidRPr="00A6717D">
        <w:rPr>
          <w:rFonts w:asciiTheme="minorHAnsi" w:hAnsiTheme="minorHAnsi" w:cstheme="minorHAnsi"/>
          <w:sz w:val="18"/>
          <w:szCs w:val="18"/>
        </w:rPr>
        <w:t>Hillsong</w:t>
      </w:r>
      <w:proofErr w:type="spellEnd"/>
      <w:r w:rsidRPr="00A6717D">
        <w:rPr>
          <w:rFonts w:asciiTheme="minorHAnsi" w:hAnsiTheme="minorHAnsi" w:cstheme="minorHAnsi"/>
          <w:sz w:val="18"/>
          <w:szCs w:val="18"/>
        </w:rPr>
        <w:t xml:space="preserve"> Church – George Aghajanian</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proofErr w:type="spellStart"/>
      <w:r w:rsidRPr="00A6717D">
        <w:rPr>
          <w:rFonts w:asciiTheme="minorHAnsi" w:hAnsiTheme="minorHAnsi" w:cstheme="minorHAnsi"/>
          <w:sz w:val="18"/>
          <w:szCs w:val="18"/>
        </w:rPr>
        <w:t>Illawara</w:t>
      </w:r>
      <w:proofErr w:type="spellEnd"/>
      <w:r w:rsidRPr="00A6717D">
        <w:rPr>
          <w:rFonts w:asciiTheme="minorHAnsi" w:hAnsiTheme="minorHAnsi" w:cstheme="minorHAnsi"/>
          <w:sz w:val="18"/>
          <w:szCs w:val="18"/>
        </w:rPr>
        <w:t xml:space="preserve"> Retirement Trust – Nieves Murray</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Lifeline Australia – Dr Maggie Jamieson</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proofErr w:type="spellStart"/>
      <w:r w:rsidRPr="00A6717D">
        <w:rPr>
          <w:rFonts w:asciiTheme="minorHAnsi" w:hAnsiTheme="minorHAnsi" w:cstheme="minorHAnsi"/>
          <w:sz w:val="18"/>
          <w:szCs w:val="18"/>
        </w:rPr>
        <w:t>Maroba</w:t>
      </w:r>
      <w:proofErr w:type="spellEnd"/>
      <w:r w:rsidRPr="00A6717D">
        <w:rPr>
          <w:rFonts w:asciiTheme="minorHAnsi" w:hAnsiTheme="minorHAnsi" w:cstheme="minorHAnsi"/>
          <w:sz w:val="18"/>
          <w:szCs w:val="18"/>
        </w:rPr>
        <w:t xml:space="preserve"> Lodge Ltd. – Viv Allanson</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Mental Health Council of Australia – Frank Quinlan</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Mission Australia – Toby Hall (Director)</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proofErr w:type="spellStart"/>
      <w:r w:rsidRPr="00A6717D">
        <w:rPr>
          <w:rFonts w:asciiTheme="minorHAnsi" w:hAnsiTheme="minorHAnsi" w:cstheme="minorHAnsi"/>
          <w:sz w:val="18"/>
          <w:szCs w:val="18"/>
        </w:rPr>
        <w:t>Musica</w:t>
      </w:r>
      <w:proofErr w:type="spellEnd"/>
      <w:r w:rsidRPr="00A6717D">
        <w:rPr>
          <w:rFonts w:asciiTheme="minorHAnsi" w:hAnsiTheme="minorHAnsi" w:cstheme="minorHAnsi"/>
          <w:sz w:val="18"/>
          <w:szCs w:val="18"/>
        </w:rPr>
        <w:t xml:space="preserve"> Viva Australia – Mary Jo Capps (Director)</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Opportunity International Australia – Rob Dunn</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Philanthropy Australia – Deborah Seifert</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Principals Australia – Liz Furler</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RSPCA Australia – Heather Neil (Director)</w:t>
      </w:r>
    </w:p>
    <w:p w:rsidR="004E7DFF" w:rsidRPr="00A6717D" w:rsidRDefault="004E7DFF"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 xml:space="preserve">St John Ambulance Australia – Peter </w:t>
      </w:r>
      <w:proofErr w:type="spellStart"/>
      <w:r w:rsidRPr="00A6717D">
        <w:rPr>
          <w:rFonts w:asciiTheme="minorHAnsi" w:hAnsiTheme="minorHAnsi" w:cstheme="minorHAnsi"/>
          <w:sz w:val="18"/>
          <w:szCs w:val="18"/>
        </w:rPr>
        <w:t>Lecornu</w:t>
      </w:r>
      <w:proofErr w:type="spellEnd"/>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 xml:space="preserve">Social Ventures Australia – Michael </w:t>
      </w:r>
      <w:proofErr w:type="spellStart"/>
      <w:r w:rsidRPr="00A6717D">
        <w:rPr>
          <w:rFonts w:asciiTheme="minorHAnsi" w:hAnsiTheme="minorHAnsi" w:cstheme="minorHAnsi"/>
          <w:sz w:val="18"/>
          <w:szCs w:val="18"/>
        </w:rPr>
        <w:t>Traill</w:t>
      </w:r>
      <w:proofErr w:type="spellEnd"/>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Surf Life Saving Australia – Brett Williamson (Director)</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The ANZCA Foundation – Ian Higgins</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The Benevolent Society – Richard Spencer (Retiring Director)</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 xml:space="preserve">The Big Issue – Steven </w:t>
      </w:r>
      <w:proofErr w:type="spellStart"/>
      <w:r w:rsidRPr="00A6717D">
        <w:rPr>
          <w:rFonts w:asciiTheme="minorHAnsi" w:hAnsiTheme="minorHAnsi" w:cstheme="minorHAnsi"/>
          <w:sz w:val="18"/>
          <w:szCs w:val="18"/>
        </w:rPr>
        <w:t>Persson</w:t>
      </w:r>
      <w:proofErr w:type="spellEnd"/>
      <w:r w:rsidRPr="00A6717D">
        <w:rPr>
          <w:rFonts w:asciiTheme="minorHAnsi" w:hAnsiTheme="minorHAnsi" w:cstheme="minorHAnsi"/>
          <w:sz w:val="18"/>
          <w:szCs w:val="18"/>
        </w:rPr>
        <w:t xml:space="preserve"> (Director)</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 xml:space="preserve">The Centre for Social Impact – Peter </w:t>
      </w:r>
      <w:proofErr w:type="spellStart"/>
      <w:r w:rsidRPr="00A6717D">
        <w:rPr>
          <w:rFonts w:asciiTheme="minorHAnsi" w:hAnsiTheme="minorHAnsi" w:cstheme="minorHAnsi"/>
          <w:sz w:val="18"/>
          <w:szCs w:val="18"/>
        </w:rPr>
        <w:t>Shergold</w:t>
      </w:r>
      <w:proofErr w:type="spellEnd"/>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The Smith Family – Lisa O’Brien (Director)</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The Ted Noffs Foundation – Wesley Noffs</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 xml:space="preserve">Volunteering Australia Inc. – Cary </w:t>
      </w:r>
      <w:proofErr w:type="spellStart"/>
      <w:r w:rsidRPr="00A6717D">
        <w:rPr>
          <w:rFonts w:asciiTheme="minorHAnsi" w:hAnsiTheme="minorHAnsi" w:cstheme="minorHAnsi"/>
          <w:sz w:val="18"/>
          <w:szCs w:val="18"/>
        </w:rPr>
        <w:t>Pedicini</w:t>
      </w:r>
      <w:proofErr w:type="spellEnd"/>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Wesley Mission – Keith Garner (Director)</w:t>
      </w:r>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proofErr w:type="spellStart"/>
      <w:r w:rsidRPr="00A6717D">
        <w:rPr>
          <w:rFonts w:asciiTheme="minorHAnsi" w:hAnsiTheme="minorHAnsi" w:cstheme="minorHAnsi"/>
          <w:sz w:val="18"/>
          <w:szCs w:val="18"/>
        </w:rPr>
        <w:t>WorkVentures</w:t>
      </w:r>
      <w:proofErr w:type="spellEnd"/>
      <w:r w:rsidRPr="00A6717D">
        <w:rPr>
          <w:rFonts w:asciiTheme="minorHAnsi" w:hAnsiTheme="minorHAnsi" w:cstheme="minorHAnsi"/>
          <w:sz w:val="18"/>
          <w:szCs w:val="18"/>
        </w:rPr>
        <w:t xml:space="preserve"> Ltd. – </w:t>
      </w:r>
      <w:proofErr w:type="spellStart"/>
      <w:r w:rsidRPr="00A6717D">
        <w:rPr>
          <w:rFonts w:asciiTheme="minorHAnsi" w:hAnsiTheme="minorHAnsi" w:cstheme="minorHAnsi"/>
          <w:sz w:val="18"/>
          <w:szCs w:val="18"/>
        </w:rPr>
        <w:t>Arsenio</w:t>
      </w:r>
      <w:proofErr w:type="spellEnd"/>
      <w:r w:rsidRPr="00A6717D">
        <w:rPr>
          <w:rFonts w:asciiTheme="minorHAnsi" w:hAnsiTheme="minorHAnsi" w:cstheme="minorHAnsi"/>
          <w:sz w:val="18"/>
          <w:szCs w:val="18"/>
        </w:rPr>
        <w:t xml:space="preserve"> </w:t>
      </w:r>
      <w:proofErr w:type="spellStart"/>
      <w:r w:rsidRPr="00A6717D">
        <w:rPr>
          <w:rFonts w:asciiTheme="minorHAnsi" w:hAnsiTheme="minorHAnsi" w:cstheme="minorHAnsi"/>
          <w:sz w:val="18"/>
          <w:szCs w:val="18"/>
        </w:rPr>
        <w:t>Alegre</w:t>
      </w:r>
      <w:proofErr w:type="spellEnd"/>
    </w:p>
    <w:p w:rsidR="00B51D74" w:rsidRPr="00A6717D" w:rsidRDefault="00B51D74" w:rsidP="00A6717D">
      <w:pPr>
        <w:pStyle w:val="NormalWeb"/>
        <w:numPr>
          <w:ilvl w:val="0"/>
          <w:numId w:val="34"/>
        </w:numPr>
        <w:spacing w:before="0" w:beforeAutospacing="0" w:after="0" w:afterAutospacing="0" w:line="360" w:lineRule="auto"/>
        <w:ind w:left="750" w:hanging="357"/>
        <w:contextualSpacing/>
        <w:rPr>
          <w:rFonts w:asciiTheme="minorHAnsi" w:hAnsiTheme="minorHAnsi" w:cstheme="minorHAnsi"/>
          <w:sz w:val="18"/>
          <w:szCs w:val="18"/>
        </w:rPr>
      </w:pPr>
      <w:r w:rsidRPr="00A6717D">
        <w:rPr>
          <w:rFonts w:asciiTheme="minorHAnsi" w:hAnsiTheme="minorHAnsi" w:cstheme="minorHAnsi"/>
          <w:sz w:val="18"/>
          <w:szCs w:val="18"/>
        </w:rPr>
        <w:t>World Vision Australia – Tim Costello (Chair)</w:t>
      </w:r>
    </w:p>
    <w:p w:rsidR="00B51D74" w:rsidRPr="00A6717D" w:rsidRDefault="00B51D74" w:rsidP="00A6717D">
      <w:pPr>
        <w:pStyle w:val="ListParagraph"/>
        <w:numPr>
          <w:ilvl w:val="0"/>
          <w:numId w:val="34"/>
        </w:numPr>
        <w:spacing w:before="0"/>
        <w:ind w:hanging="357"/>
        <w:rPr>
          <w:sz w:val="18"/>
          <w:szCs w:val="18"/>
        </w:rPr>
      </w:pPr>
      <w:r w:rsidRPr="00A6717D">
        <w:rPr>
          <w:rFonts w:cstheme="minorHAnsi"/>
          <w:sz w:val="18"/>
          <w:szCs w:val="18"/>
        </w:rPr>
        <w:t xml:space="preserve">YMCA Australia – </w:t>
      </w:r>
      <w:r w:rsidR="004E7DFF" w:rsidRPr="00A6717D">
        <w:rPr>
          <w:rFonts w:cstheme="minorHAnsi"/>
          <w:sz w:val="18"/>
          <w:szCs w:val="18"/>
        </w:rPr>
        <w:t xml:space="preserve">Ron </w:t>
      </w:r>
      <w:proofErr w:type="spellStart"/>
      <w:r w:rsidR="004E7DFF" w:rsidRPr="00A6717D">
        <w:rPr>
          <w:rFonts w:cstheme="minorHAnsi"/>
          <w:sz w:val="18"/>
          <w:szCs w:val="18"/>
        </w:rPr>
        <w:t>Mell</w:t>
      </w:r>
      <w:proofErr w:type="spellEnd"/>
    </w:p>
    <w:p w:rsidR="00B51D74" w:rsidRPr="00A6717D" w:rsidRDefault="00B51D74" w:rsidP="00A6717D">
      <w:pPr>
        <w:pStyle w:val="ListParagraph"/>
        <w:numPr>
          <w:ilvl w:val="0"/>
          <w:numId w:val="34"/>
        </w:numPr>
        <w:spacing w:before="0"/>
        <w:ind w:hanging="357"/>
        <w:rPr>
          <w:sz w:val="18"/>
          <w:szCs w:val="18"/>
        </w:rPr>
      </w:pPr>
      <w:r w:rsidRPr="00A6717D">
        <w:rPr>
          <w:rFonts w:cstheme="minorHAnsi"/>
          <w:sz w:val="18"/>
          <w:szCs w:val="18"/>
        </w:rPr>
        <w:t xml:space="preserve">Youth Off The Streets – </w:t>
      </w:r>
      <w:proofErr w:type="spellStart"/>
      <w:r w:rsidRPr="00A6717D">
        <w:rPr>
          <w:rFonts w:cstheme="minorHAnsi"/>
          <w:sz w:val="18"/>
          <w:szCs w:val="18"/>
        </w:rPr>
        <w:t>Fr</w:t>
      </w:r>
      <w:proofErr w:type="spellEnd"/>
      <w:r w:rsidRPr="00A6717D">
        <w:rPr>
          <w:rFonts w:cstheme="minorHAnsi"/>
          <w:sz w:val="18"/>
          <w:szCs w:val="18"/>
        </w:rPr>
        <w:t xml:space="preserve"> Chris riley</w:t>
      </w:r>
    </w:p>
    <w:sectPr w:rsidR="00B51D74" w:rsidRPr="00A6717D" w:rsidSect="00880B27">
      <w:footerReference w:type="default" r:id="rId12"/>
      <w:pgSz w:w="11906" w:h="16838"/>
      <w:pgMar w:top="1304" w:right="1440" w:bottom="90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F72" w:rsidRDefault="005E3F72" w:rsidP="00C3541D">
      <w:pPr>
        <w:spacing w:before="0" w:line="240" w:lineRule="auto"/>
      </w:pPr>
      <w:r>
        <w:separator/>
      </w:r>
    </w:p>
  </w:endnote>
  <w:endnote w:type="continuationSeparator" w:id="0">
    <w:p w:rsidR="005E3F72" w:rsidRDefault="005E3F72" w:rsidP="00C3541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B9" w:rsidRPr="00791BC7" w:rsidRDefault="008A59B9" w:rsidP="00207345">
    <w:pPr>
      <w:pStyle w:val="Footer"/>
      <w:jc w:val="right"/>
      <w:rPr>
        <w:color w:val="002060"/>
      </w:rPr>
    </w:pPr>
    <w:r w:rsidRPr="00791BC7">
      <w:rPr>
        <w:color w:val="002060"/>
      </w:rPr>
      <w:t xml:space="preserve">Page </w:t>
    </w:r>
    <w:r w:rsidRPr="00791BC7">
      <w:rPr>
        <w:color w:val="002060"/>
      </w:rPr>
      <w:fldChar w:fldCharType="begin"/>
    </w:r>
    <w:r w:rsidRPr="00791BC7">
      <w:rPr>
        <w:color w:val="002060"/>
      </w:rPr>
      <w:instrText xml:space="preserve"> PAGE   \* MERGEFORMAT </w:instrText>
    </w:r>
    <w:r w:rsidRPr="00791BC7">
      <w:rPr>
        <w:color w:val="002060"/>
      </w:rPr>
      <w:fldChar w:fldCharType="separate"/>
    </w:r>
    <w:r w:rsidR="009D340E">
      <w:rPr>
        <w:noProof/>
        <w:color w:val="002060"/>
      </w:rPr>
      <w:t>2</w:t>
    </w:r>
    <w:r w:rsidRPr="00791BC7">
      <w:rPr>
        <w:color w:val="002060"/>
      </w:rPr>
      <w:fldChar w:fldCharType="end"/>
    </w:r>
  </w:p>
  <w:p w:rsidR="008A59B9" w:rsidRDefault="008A5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913581"/>
      <w:docPartObj>
        <w:docPartGallery w:val="Page Numbers (Bottom of Page)"/>
        <w:docPartUnique/>
      </w:docPartObj>
    </w:sdtPr>
    <w:sdtEndPr>
      <w:rPr>
        <w:noProof/>
      </w:rPr>
    </w:sdtEndPr>
    <w:sdtContent>
      <w:p w:rsidR="004D1886" w:rsidRDefault="004D1886">
        <w:pPr>
          <w:pStyle w:val="Footer"/>
          <w:jc w:val="right"/>
        </w:pPr>
        <w:r>
          <w:fldChar w:fldCharType="begin"/>
        </w:r>
        <w:r>
          <w:instrText xml:space="preserve"> PAGE   \* MERGEFORMAT </w:instrText>
        </w:r>
        <w:r>
          <w:fldChar w:fldCharType="separate"/>
        </w:r>
        <w:r w:rsidR="00E2018A">
          <w:rPr>
            <w:noProof/>
          </w:rPr>
          <w:t>6</w:t>
        </w:r>
        <w:r>
          <w:rPr>
            <w:noProof/>
          </w:rPr>
          <w:fldChar w:fldCharType="end"/>
        </w:r>
      </w:p>
    </w:sdtContent>
  </w:sdt>
  <w:p w:rsidR="004D1886" w:rsidRDefault="004D1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F72" w:rsidRDefault="005E3F72" w:rsidP="00C3541D">
      <w:pPr>
        <w:spacing w:before="0" w:line="240" w:lineRule="auto"/>
      </w:pPr>
      <w:r>
        <w:separator/>
      </w:r>
    </w:p>
  </w:footnote>
  <w:footnote w:type="continuationSeparator" w:id="0">
    <w:p w:rsidR="005E3F72" w:rsidRDefault="005E3F72" w:rsidP="00C3541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9B9" w:rsidRPr="00791BC7" w:rsidRDefault="008A59B9" w:rsidP="00207345">
    <w:pPr>
      <w:pStyle w:val="Header"/>
      <w:jc w:val="right"/>
      <w:rPr>
        <w:color w:val="002060"/>
        <w:szCs w:val="20"/>
        <w:lang w:val="en-US"/>
      </w:rPr>
    </w:pPr>
    <w:r w:rsidRPr="00791BC7">
      <w:rPr>
        <w:color w:val="002060"/>
        <w:szCs w:val="20"/>
        <w:lang w:val="en-US"/>
      </w:rPr>
      <w:t>Co</w:t>
    </w:r>
    <w:r w:rsidR="009D340E">
      <w:rPr>
        <w:color w:val="002060"/>
        <w:szCs w:val="20"/>
        <w:lang w:val="en-US"/>
      </w:rPr>
      <w:t>mmunity Council for Australia: Establishment of the ACNC</w:t>
    </w:r>
    <w:r w:rsidRPr="00791BC7">
      <w:rPr>
        <w:color w:val="002060"/>
        <w:szCs w:val="20"/>
        <w:lang w:val="en-US"/>
      </w:rPr>
      <w:t xml:space="preserve"> Submission</w:t>
    </w:r>
    <w:r>
      <w:rPr>
        <w:color w:val="002060"/>
        <w:szCs w:val="20"/>
        <w:lang w:val="en-US"/>
      </w:rPr>
      <w:t>,</w:t>
    </w:r>
    <w:r w:rsidRPr="00791BC7">
      <w:rPr>
        <w:color w:val="002060"/>
        <w:szCs w:val="20"/>
        <w:lang w:val="en-US"/>
      </w:rPr>
      <w:t xml:space="preserve"> </w:t>
    </w:r>
    <w:r w:rsidR="009D340E">
      <w:rPr>
        <w:color w:val="002060"/>
        <w:szCs w:val="20"/>
        <w:lang w:val="en-US"/>
      </w:rPr>
      <w:t>January 2012</w:t>
    </w:r>
    <w:r w:rsidRPr="00791BC7">
      <w:rPr>
        <w:color w:val="002060"/>
        <w:szCs w:val="20"/>
        <w:lang w:val="en-US"/>
      </w:rPr>
      <w:t xml:space="preserve">  </w:t>
    </w:r>
  </w:p>
  <w:p w:rsidR="008A59B9" w:rsidRDefault="008A5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491"/>
    <w:multiLevelType w:val="hybridMultilevel"/>
    <w:tmpl w:val="9E4C5092"/>
    <w:lvl w:ilvl="0" w:tplc="C55AC484">
      <w:numFmt w:val="bullet"/>
      <w:lvlText w:val="-"/>
      <w:lvlJc w:val="left"/>
      <w:pPr>
        <w:ind w:left="1431" w:hanging="360"/>
      </w:pPr>
      <w:rPr>
        <w:rFonts w:ascii="Calibri" w:eastAsiaTheme="minorHAnsi" w:hAnsi="Calibri" w:cs="Calibri" w:hint="default"/>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1">
    <w:nsid w:val="0AC14894"/>
    <w:multiLevelType w:val="hybridMultilevel"/>
    <w:tmpl w:val="F9A6077C"/>
    <w:lvl w:ilvl="0" w:tplc="6930D230">
      <w:start w:val="10"/>
      <w:numFmt w:val="bullet"/>
      <w:lvlText w:val="-"/>
      <w:lvlJc w:val="left"/>
      <w:pPr>
        <w:ind w:left="1437" w:hanging="360"/>
      </w:pPr>
      <w:rPr>
        <w:rFonts w:ascii="Calibri" w:eastAsiaTheme="minorHAnsi" w:hAnsi="Calibri" w:cs="Calibri"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2">
    <w:nsid w:val="0F6F57FC"/>
    <w:multiLevelType w:val="hybridMultilevel"/>
    <w:tmpl w:val="5D2AA18A"/>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3">
    <w:nsid w:val="10A12291"/>
    <w:multiLevelType w:val="hybridMultilevel"/>
    <w:tmpl w:val="BFC0D7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765ECB"/>
    <w:multiLevelType w:val="hybridMultilevel"/>
    <w:tmpl w:val="D5FA8C06"/>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nsid w:val="13C47B25"/>
    <w:multiLevelType w:val="hybridMultilevel"/>
    <w:tmpl w:val="2BB29A58"/>
    <w:lvl w:ilvl="0" w:tplc="0C09000F">
      <w:start w:val="1"/>
      <w:numFmt w:val="decimal"/>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6">
    <w:nsid w:val="18C044ED"/>
    <w:multiLevelType w:val="hybridMultilevel"/>
    <w:tmpl w:val="DAFA288A"/>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7">
    <w:nsid w:val="1AFE3269"/>
    <w:multiLevelType w:val="multilevel"/>
    <w:tmpl w:val="26CA6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BA6218"/>
    <w:multiLevelType w:val="hybridMultilevel"/>
    <w:tmpl w:val="BB32E2EE"/>
    <w:lvl w:ilvl="0" w:tplc="0C09001B">
      <w:start w:val="1"/>
      <w:numFmt w:val="lowerRoman"/>
      <w:lvlText w:val="%1."/>
      <w:lvlJc w:val="right"/>
      <w:pPr>
        <w:ind w:left="1440" w:hanging="360"/>
      </w:pPr>
      <w:rPr>
        <w:rFonts w:hint="default"/>
      </w:rPr>
    </w:lvl>
    <w:lvl w:ilvl="1" w:tplc="DEAE72BC">
      <w:start w:val="1"/>
      <w:numFmt w:val="decimal"/>
      <w:lvlText w:val="%2."/>
      <w:lvlJc w:val="left"/>
      <w:pPr>
        <w:ind w:left="2160" w:hanging="360"/>
      </w:pPr>
      <w:rPr>
        <w:rFont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BC74744"/>
    <w:multiLevelType w:val="hybridMultilevel"/>
    <w:tmpl w:val="13DE897E"/>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0">
    <w:nsid w:val="1D284B96"/>
    <w:multiLevelType w:val="hybridMultilevel"/>
    <w:tmpl w:val="13DE897E"/>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1">
    <w:nsid w:val="1E9F7682"/>
    <w:multiLevelType w:val="hybridMultilevel"/>
    <w:tmpl w:val="F6F6EB20"/>
    <w:lvl w:ilvl="0" w:tplc="1F58B352">
      <w:start w:val="10"/>
      <w:numFmt w:val="bullet"/>
      <w:lvlText w:val="-"/>
      <w:lvlJc w:val="left"/>
      <w:pPr>
        <w:ind w:left="1437" w:hanging="360"/>
      </w:pPr>
      <w:rPr>
        <w:rFonts w:ascii="Calibri" w:eastAsiaTheme="minorHAnsi" w:hAnsi="Calibri" w:cs="Calibri"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12">
    <w:nsid w:val="21DC22EE"/>
    <w:multiLevelType w:val="hybridMultilevel"/>
    <w:tmpl w:val="6B389EE8"/>
    <w:lvl w:ilvl="0" w:tplc="02C6C938">
      <w:start w:val="37"/>
      <w:numFmt w:val="decimal"/>
      <w:lvlText w:val="%1."/>
      <w:lvlJc w:val="left"/>
      <w:pPr>
        <w:ind w:left="215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nsid w:val="26FE2338"/>
    <w:multiLevelType w:val="hybridMultilevel"/>
    <w:tmpl w:val="B98A5968"/>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4">
    <w:nsid w:val="27D561B6"/>
    <w:multiLevelType w:val="hybridMultilevel"/>
    <w:tmpl w:val="8C54F630"/>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5">
    <w:nsid w:val="28C70ACD"/>
    <w:multiLevelType w:val="hybridMultilevel"/>
    <w:tmpl w:val="2A3C972C"/>
    <w:lvl w:ilvl="0" w:tplc="DEAE72BC">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6">
    <w:nsid w:val="31250EB1"/>
    <w:multiLevelType w:val="hybridMultilevel"/>
    <w:tmpl w:val="A146ACCA"/>
    <w:lvl w:ilvl="0" w:tplc="0C09000F">
      <w:start w:val="1"/>
      <w:numFmt w:val="decimal"/>
      <w:lvlText w:val="%1."/>
      <w:lvlJc w:val="left"/>
      <w:pPr>
        <w:ind w:left="2157" w:hanging="360"/>
      </w:pPr>
    </w:lvl>
    <w:lvl w:ilvl="1" w:tplc="0C090019" w:tentative="1">
      <w:start w:val="1"/>
      <w:numFmt w:val="lowerLetter"/>
      <w:lvlText w:val="%2."/>
      <w:lvlJc w:val="left"/>
      <w:pPr>
        <w:ind w:left="2877" w:hanging="360"/>
      </w:pPr>
    </w:lvl>
    <w:lvl w:ilvl="2" w:tplc="0C09001B" w:tentative="1">
      <w:start w:val="1"/>
      <w:numFmt w:val="lowerRoman"/>
      <w:lvlText w:val="%3."/>
      <w:lvlJc w:val="right"/>
      <w:pPr>
        <w:ind w:left="3597" w:hanging="180"/>
      </w:pPr>
    </w:lvl>
    <w:lvl w:ilvl="3" w:tplc="0C09000F" w:tentative="1">
      <w:start w:val="1"/>
      <w:numFmt w:val="decimal"/>
      <w:lvlText w:val="%4."/>
      <w:lvlJc w:val="left"/>
      <w:pPr>
        <w:ind w:left="4317" w:hanging="360"/>
      </w:pPr>
    </w:lvl>
    <w:lvl w:ilvl="4" w:tplc="0C090019" w:tentative="1">
      <w:start w:val="1"/>
      <w:numFmt w:val="lowerLetter"/>
      <w:lvlText w:val="%5."/>
      <w:lvlJc w:val="left"/>
      <w:pPr>
        <w:ind w:left="5037" w:hanging="360"/>
      </w:pPr>
    </w:lvl>
    <w:lvl w:ilvl="5" w:tplc="0C09001B" w:tentative="1">
      <w:start w:val="1"/>
      <w:numFmt w:val="lowerRoman"/>
      <w:lvlText w:val="%6."/>
      <w:lvlJc w:val="right"/>
      <w:pPr>
        <w:ind w:left="5757" w:hanging="180"/>
      </w:pPr>
    </w:lvl>
    <w:lvl w:ilvl="6" w:tplc="0C09000F" w:tentative="1">
      <w:start w:val="1"/>
      <w:numFmt w:val="decimal"/>
      <w:lvlText w:val="%7."/>
      <w:lvlJc w:val="left"/>
      <w:pPr>
        <w:ind w:left="6477" w:hanging="360"/>
      </w:pPr>
    </w:lvl>
    <w:lvl w:ilvl="7" w:tplc="0C090019" w:tentative="1">
      <w:start w:val="1"/>
      <w:numFmt w:val="lowerLetter"/>
      <w:lvlText w:val="%8."/>
      <w:lvlJc w:val="left"/>
      <w:pPr>
        <w:ind w:left="7197" w:hanging="360"/>
      </w:pPr>
    </w:lvl>
    <w:lvl w:ilvl="8" w:tplc="0C09001B" w:tentative="1">
      <w:start w:val="1"/>
      <w:numFmt w:val="lowerRoman"/>
      <w:lvlText w:val="%9."/>
      <w:lvlJc w:val="right"/>
      <w:pPr>
        <w:ind w:left="7917" w:hanging="180"/>
      </w:pPr>
    </w:lvl>
  </w:abstractNum>
  <w:abstractNum w:abstractNumId="17">
    <w:nsid w:val="314D15F3"/>
    <w:multiLevelType w:val="hybridMultilevel"/>
    <w:tmpl w:val="30E4F620"/>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8">
    <w:nsid w:val="38056064"/>
    <w:multiLevelType w:val="hybridMultilevel"/>
    <w:tmpl w:val="4EA0C608"/>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9">
    <w:nsid w:val="3825325D"/>
    <w:multiLevelType w:val="hybridMultilevel"/>
    <w:tmpl w:val="6916E9C8"/>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0">
    <w:nsid w:val="3E811F36"/>
    <w:multiLevelType w:val="hybridMultilevel"/>
    <w:tmpl w:val="0C4C0122"/>
    <w:lvl w:ilvl="0" w:tplc="0C09001B">
      <w:start w:val="1"/>
      <w:numFmt w:val="lowerRoman"/>
      <w:lvlText w:val="%1."/>
      <w:lvlJc w:val="righ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1">
    <w:nsid w:val="49475F4D"/>
    <w:multiLevelType w:val="hybridMultilevel"/>
    <w:tmpl w:val="6916E9C8"/>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2">
    <w:nsid w:val="499E6518"/>
    <w:multiLevelType w:val="hybridMultilevel"/>
    <w:tmpl w:val="014075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A743C5"/>
    <w:multiLevelType w:val="hybridMultilevel"/>
    <w:tmpl w:val="E87ECE2A"/>
    <w:lvl w:ilvl="0" w:tplc="02C6C938">
      <w:start w:val="37"/>
      <w:numFmt w:val="decimal"/>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4">
    <w:nsid w:val="4B634AD0"/>
    <w:multiLevelType w:val="hybridMultilevel"/>
    <w:tmpl w:val="9E54AA58"/>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5">
    <w:nsid w:val="519E6145"/>
    <w:multiLevelType w:val="hybridMultilevel"/>
    <w:tmpl w:val="49AE00F8"/>
    <w:lvl w:ilvl="0" w:tplc="AFFE5AA8">
      <w:start w:val="10"/>
      <w:numFmt w:val="bullet"/>
      <w:lvlText w:val="-"/>
      <w:lvlJc w:val="left"/>
      <w:pPr>
        <w:ind w:left="1437" w:hanging="360"/>
      </w:pPr>
      <w:rPr>
        <w:rFonts w:ascii="Calibri" w:eastAsiaTheme="minorHAnsi" w:hAnsi="Calibri" w:cs="Calibri"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26">
    <w:nsid w:val="569B323A"/>
    <w:multiLevelType w:val="hybridMultilevel"/>
    <w:tmpl w:val="856AB622"/>
    <w:lvl w:ilvl="0" w:tplc="95348E50">
      <w:start w:val="1"/>
      <w:numFmt w:val="decimal"/>
      <w:lvlText w:val="%1."/>
      <w:lvlJc w:val="left"/>
      <w:pPr>
        <w:ind w:left="1080" w:hanging="360"/>
      </w:pPr>
      <w:rPr>
        <w:b/>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7">
    <w:nsid w:val="5B367EF3"/>
    <w:multiLevelType w:val="hybridMultilevel"/>
    <w:tmpl w:val="073255A4"/>
    <w:lvl w:ilvl="0" w:tplc="0C09000F">
      <w:start w:val="1"/>
      <w:numFmt w:val="decimal"/>
      <w:lvlText w:val="%1."/>
      <w:lvlJc w:val="left"/>
      <w:pPr>
        <w:ind w:left="1437" w:hanging="360"/>
      </w:p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28">
    <w:nsid w:val="61177B25"/>
    <w:multiLevelType w:val="hybridMultilevel"/>
    <w:tmpl w:val="361AFBE2"/>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9">
    <w:nsid w:val="779C74C8"/>
    <w:multiLevelType w:val="hybridMultilevel"/>
    <w:tmpl w:val="30E4F620"/>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30">
    <w:nsid w:val="7A9615C6"/>
    <w:multiLevelType w:val="hybridMultilevel"/>
    <w:tmpl w:val="EDA0D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B5F4DC2"/>
    <w:multiLevelType w:val="hybridMultilevel"/>
    <w:tmpl w:val="9858FE3C"/>
    <w:lvl w:ilvl="0" w:tplc="FD32255C">
      <w:start w:val="1"/>
      <w:numFmt w:val="decimal"/>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32">
    <w:nsid w:val="7CD36EA2"/>
    <w:multiLevelType w:val="hybridMultilevel"/>
    <w:tmpl w:val="0A4EC984"/>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33">
    <w:nsid w:val="7E0312E2"/>
    <w:multiLevelType w:val="hybridMultilevel"/>
    <w:tmpl w:val="1376D5F8"/>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num w:numId="1">
    <w:abstractNumId w:val="26"/>
  </w:num>
  <w:num w:numId="2">
    <w:abstractNumId w:val="4"/>
  </w:num>
  <w:num w:numId="3">
    <w:abstractNumId w:val="20"/>
  </w:num>
  <w:num w:numId="4">
    <w:abstractNumId w:val="18"/>
  </w:num>
  <w:num w:numId="5">
    <w:abstractNumId w:val="27"/>
  </w:num>
  <w:num w:numId="6">
    <w:abstractNumId w:val="0"/>
  </w:num>
  <w:num w:numId="7">
    <w:abstractNumId w:val="25"/>
  </w:num>
  <w:num w:numId="8">
    <w:abstractNumId w:val="1"/>
  </w:num>
  <w:num w:numId="9">
    <w:abstractNumId w:val="11"/>
  </w:num>
  <w:num w:numId="10">
    <w:abstractNumId w:val="33"/>
  </w:num>
  <w:num w:numId="11">
    <w:abstractNumId w:val="17"/>
  </w:num>
  <w:num w:numId="12">
    <w:abstractNumId w:val="31"/>
  </w:num>
  <w:num w:numId="13">
    <w:abstractNumId w:val="5"/>
  </w:num>
  <w:num w:numId="14">
    <w:abstractNumId w:val="28"/>
  </w:num>
  <w:num w:numId="15">
    <w:abstractNumId w:val="6"/>
  </w:num>
  <w:num w:numId="16">
    <w:abstractNumId w:val="13"/>
  </w:num>
  <w:num w:numId="17">
    <w:abstractNumId w:val="14"/>
  </w:num>
  <w:num w:numId="18">
    <w:abstractNumId w:val="21"/>
  </w:num>
  <w:num w:numId="19">
    <w:abstractNumId w:val="19"/>
  </w:num>
  <w:num w:numId="20">
    <w:abstractNumId w:val="2"/>
  </w:num>
  <w:num w:numId="21">
    <w:abstractNumId w:val="32"/>
  </w:num>
  <w:num w:numId="22">
    <w:abstractNumId w:val="24"/>
  </w:num>
  <w:num w:numId="23">
    <w:abstractNumId w:val="9"/>
  </w:num>
  <w:num w:numId="24">
    <w:abstractNumId w:val="16"/>
  </w:num>
  <w:num w:numId="25">
    <w:abstractNumId w:val="10"/>
  </w:num>
  <w:num w:numId="26">
    <w:abstractNumId w:val="29"/>
  </w:num>
  <w:num w:numId="27">
    <w:abstractNumId w:val="23"/>
  </w:num>
  <w:num w:numId="28">
    <w:abstractNumId w:val="12"/>
  </w:num>
  <w:num w:numId="29">
    <w:abstractNumId w:val="30"/>
  </w:num>
  <w:num w:numId="30">
    <w:abstractNumId w:val="22"/>
  </w:num>
  <w:num w:numId="31">
    <w:abstractNumId w:val="8"/>
  </w:num>
  <w:num w:numId="32">
    <w:abstractNumId w:val="3"/>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3C"/>
    <w:rsid w:val="0000736B"/>
    <w:rsid w:val="00012B1A"/>
    <w:rsid w:val="00034708"/>
    <w:rsid w:val="000459D0"/>
    <w:rsid w:val="00064D71"/>
    <w:rsid w:val="000840D7"/>
    <w:rsid w:val="00087214"/>
    <w:rsid w:val="00091E41"/>
    <w:rsid w:val="00096F16"/>
    <w:rsid w:val="000A25DA"/>
    <w:rsid w:val="000B734E"/>
    <w:rsid w:val="000D61BD"/>
    <w:rsid w:val="000E0825"/>
    <w:rsid w:val="001140EF"/>
    <w:rsid w:val="00144C39"/>
    <w:rsid w:val="0015297E"/>
    <w:rsid w:val="001729D5"/>
    <w:rsid w:val="001B35F3"/>
    <w:rsid w:val="001E3058"/>
    <w:rsid w:val="00201E07"/>
    <w:rsid w:val="0021051A"/>
    <w:rsid w:val="00231163"/>
    <w:rsid w:val="002343BB"/>
    <w:rsid w:val="00242CB6"/>
    <w:rsid w:val="00294123"/>
    <w:rsid w:val="00297B22"/>
    <w:rsid w:val="002B0229"/>
    <w:rsid w:val="002B0C62"/>
    <w:rsid w:val="002B5E63"/>
    <w:rsid w:val="002C100D"/>
    <w:rsid w:val="002C372E"/>
    <w:rsid w:val="00354861"/>
    <w:rsid w:val="00375EAE"/>
    <w:rsid w:val="00377482"/>
    <w:rsid w:val="003968E9"/>
    <w:rsid w:val="003E455C"/>
    <w:rsid w:val="003F1B2B"/>
    <w:rsid w:val="00461958"/>
    <w:rsid w:val="0047273D"/>
    <w:rsid w:val="004925FF"/>
    <w:rsid w:val="004D1886"/>
    <w:rsid w:val="004E7DFF"/>
    <w:rsid w:val="00506797"/>
    <w:rsid w:val="00524020"/>
    <w:rsid w:val="005413DA"/>
    <w:rsid w:val="00543825"/>
    <w:rsid w:val="00553900"/>
    <w:rsid w:val="00582F3B"/>
    <w:rsid w:val="005A4659"/>
    <w:rsid w:val="005A6D74"/>
    <w:rsid w:val="005B55A6"/>
    <w:rsid w:val="005C23B8"/>
    <w:rsid w:val="005D7C4C"/>
    <w:rsid w:val="005E03C9"/>
    <w:rsid w:val="005E3F72"/>
    <w:rsid w:val="005E7C30"/>
    <w:rsid w:val="0061207C"/>
    <w:rsid w:val="00621FEA"/>
    <w:rsid w:val="00626448"/>
    <w:rsid w:val="00630F05"/>
    <w:rsid w:val="00665272"/>
    <w:rsid w:val="006663D4"/>
    <w:rsid w:val="00674218"/>
    <w:rsid w:val="006A5BDB"/>
    <w:rsid w:val="006D01F1"/>
    <w:rsid w:val="006E11AD"/>
    <w:rsid w:val="006E3037"/>
    <w:rsid w:val="006F5564"/>
    <w:rsid w:val="00707F72"/>
    <w:rsid w:val="00715BF2"/>
    <w:rsid w:val="00750499"/>
    <w:rsid w:val="00763527"/>
    <w:rsid w:val="0077617E"/>
    <w:rsid w:val="00794F53"/>
    <w:rsid w:val="007A6A14"/>
    <w:rsid w:val="007B3881"/>
    <w:rsid w:val="007F228D"/>
    <w:rsid w:val="007F73FD"/>
    <w:rsid w:val="007F7C80"/>
    <w:rsid w:val="008173A6"/>
    <w:rsid w:val="00880B27"/>
    <w:rsid w:val="008834CD"/>
    <w:rsid w:val="008A59B9"/>
    <w:rsid w:val="008A6A03"/>
    <w:rsid w:val="008B10B4"/>
    <w:rsid w:val="008C57C6"/>
    <w:rsid w:val="008D65F5"/>
    <w:rsid w:val="008F3622"/>
    <w:rsid w:val="0091233F"/>
    <w:rsid w:val="009630FA"/>
    <w:rsid w:val="009702A1"/>
    <w:rsid w:val="00974869"/>
    <w:rsid w:val="00975C51"/>
    <w:rsid w:val="009804A2"/>
    <w:rsid w:val="009D340E"/>
    <w:rsid w:val="009E4908"/>
    <w:rsid w:val="009F11A2"/>
    <w:rsid w:val="00A10502"/>
    <w:rsid w:val="00A47AD7"/>
    <w:rsid w:val="00A6717D"/>
    <w:rsid w:val="00AD5C1D"/>
    <w:rsid w:val="00AE5841"/>
    <w:rsid w:val="00B053DF"/>
    <w:rsid w:val="00B40757"/>
    <w:rsid w:val="00B415A9"/>
    <w:rsid w:val="00B46E12"/>
    <w:rsid w:val="00B51D74"/>
    <w:rsid w:val="00B52F5E"/>
    <w:rsid w:val="00B73626"/>
    <w:rsid w:val="00B74F3F"/>
    <w:rsid w:val="00B76601"/>
    <w:rsid w:val="00B90890"/>
    <w:rsid w:val="00B97FEB"/>
    <w:rsid w:val="00BA1CC3"/>
    <w:rsid w:val="00BB45DC"/>
    <w:rsid w:val="00BD3C09"/>
    <w:rsid w:val="00BD7CC8"/>
    <w:rsid w:val="00BE1BE6"/>
    <w:rsid w:val="00BF1FDF"/>
    <w:rsid w:val="00BF3690"/>
    <w:rsid w:val="00BF4634"/>
    <w:rsid w:val="00C013C0"/>
    <w:rsid w:val="00C3541D"/>
    <w:rsid w:val="00C35775"/>
    <w:rsid w:val="00C45438"/>
    <w:rsid w:val="00C50FEC"/>
    <w:rsid w:val="00C85FE8"/>
    <w:rsid w:val="00C9789D"/>
    <w:rsid w:val="00CB363E"/>
    <w:rsid w:val="00D10D6A"/>
    <w:rsid w:val="00D47675"/>
    <w:rsid w:val="00D578E0"/>
    <w:rsid w:val="00D62BBE"/>
    <w:rsid w:val="00D76C3C"/>
    <w:rsid w:val="00DB177B"/>
    <w:rsid w:val="00DB51B6"/>
    <w:rsid w:val="00DD4C88"/>
    <w:rsid w:val="00DE0253"/>
    <w:rsid w:val="00DE3E22"/>
    <w:rsid w:val="00E2018A"/>
    <w:rsid w:val="00E3792F"/>
    <w:rsid w:val="00E54230"/>
    <w:rsid w:val="00E64074"/>
    <w:rsid w:val="00E70798"/>
    <w:rsid w:val="00E95D8D"/>
    <w:rsid w:val="00E95FB8"/>
    <w:rsid w:val="00EB2212"/>
    <w:rsid w:val="00ED0CD0"/>
    <w:rsid w:val="00EF5833"/>
    <w:rsid w:val="00F2152F"/>
    <w:rsid w:val="00F90D8B"/>
    <w:rsid w:val="00FA384B"/>
    <w:rsid w:val="00FC467E"/>
    <w:rsid w:val="00FD70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C3C"/>
    <w:pPr>
      <w:ind w:left="720"/>
      <w:contextualSpacing/>
    </w:pPr>
  </w:style>
  <w:style w:type="paragraph" w:styleId="Header">
    <w:name w:val="header"/>
    <w:basedOn w:val="Normal"/>
    <w:link w:val="HeaderChar"/>
    <w:uiPriority w:val="99"/>
    <w:unhideWhenUsed/>
    <w:rsid w:val="00C3541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3541D"/>
  </w:style>
  <w:style w:type="paragraph" w:styleId="Footer">
    <w:name w:val="footer"/>
    <w:basedOn w:val="Normal"/>
    <w:link w:val="FooterChar"/>
    <w:uiPriority w:val="99"/>
    <w:unhideWhenUsed/>
    <w:rsid w:val="00C3541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3541D"/>
  </w:style>
  <w:style w:type="paragraph" w:styleId="BalloonText">
    <w:name w:val="Balloon Text"/>
    <w:basedOn w:val="Normal"/>
    <w:link w:val="BalloonTextChar"/>
    <w:uiPriority w:val="99"/>
    <w:semiHidden/>
    <w:unhideWhenUsed/>
    <w:rsid w:val="00C013C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3C0"/>
    <w:rPr>
      <w:rFonts w:ascii="Tahoma" w:hAnsi="Tahoma" w:cs="Tahoma"/>
      <w:sz w:val="16"/>
      <w:szCs w:val="16"/>
    </w:rPr>
  </w:style>
  <w:style w:type="character" w:customStyle="1" w:styleId="Heading1Char">
    <w:name w:val="Heading 1 Char"/>
    <w:basedOn w:val="DefaultParagraphFont"/>
    <w:link w:val="Heading1"/>
    <w:uiPriority w:val="9"/>
    <w:rsid w:val="002C10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C100D"/>
    <w:pPr>
      <w:ind w:left="0"/>
      <w:outlineLvl w:val="9"/>
    </w:pPr>
    <w:rPr>
      <w:lang w:val="en-US" w:eastAsia="ja-JP"/>
    </w:rPr>
  </w:style>
  <w:style w:type="paragraph" w:styleId="TOC2">
    <w:name w:val="toc 2"/>
    <w:basedOn w:val="Normal"/>
    <w:next w:val="Normal"/>
    <w:autoRedefine/>
    <w:uiPriority w:val="39"/>
    <w:unhideWhenUsed/>
    <w:qFormat/>
    <w:rsid w:val="002C100D"/>
    <w:pPr>
      <w:spacing w:before="0"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2C100D"/>
    <w:pPr>
      <w:spacing w:before="0" w:after="100"/>
      <w:ind w:left="0"/>
    </w:pPr>
    <w:rPr>
      <w:rFonts w:eastAsiaTheme="minorEastAsia"/>
      <w:lang w:val="en-US" w:eastAsia="ja-JP"/>
    </w:rPr>
  </w:style>
  <w:style w:type="paragraph" w:styleId="TOC3">
    <w:name w:val="toc 3"/>
    <w:basedOn w:val="Normal"/>
    <w:next w:val="Normal"/>
    <w:autoRedefine/>
    <w:uiPriority w:val="39"/>
    <w:semiHidden/>
    <w:unhideWhenUsed/>
    <w:qFormat/>
    <w:rsid w:val="002C100D"/>
    <w:pPr>
      <w:spacing w:before="0" w:after="100"/>
      <w:ind w:left="440"/>
    </w:pPr>
    <w:rPr>
      <w:rFonts w:eastAsiaTheme="minorEastAsia"/>
      <w:lang w:val="en-US" w:eastAsia="ja-JP"/>
    </w:rPr>
  </w:style>
  <w:style w:type="character" w:styleId="Hyperlink">
    <w:name w:val="Hyperlink"/>
    <w:basedOn w:val="DefaultParagraphFont"/>
    <w:uiPriority w:val="99"/>
    <w:unhideWhenUsed/>
    <w:rsid w:val="002C100D"/>
    <w:rPr>
      <w:color w:val="0000FF" w:themeColor="hyperlink"/>
      <w:u w:val="single"/>
    </w:rPr>
  </w:style>
  <w:style w:type="paragraph" w:styleId="NormalWeb">
    <w:name w:val="Normal (Web)"/>
    <w:basedOn w:val="Normal"/>
    <w:uiPriority w:val="99"/>
    <w:unhideWhenUsed/>
    <w:rsid w:val="00B51D74"/>
    <w:pPr>
      <w:spacing w:before="100" w:beforeAutospacing="1" w:after="100" w:afterAutospacing="1" w:line="240" w:lineRule="auto"/>
      <w:ind w:left="0"/>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C3C"/>
    <w:pPr>
      <w:ind w:left="720"/>
      <w:contextualSpacing/>
    </w:pPr>
  </w:style>
  <w:style w:type="paragraph" w:styleId="Header">
    <w:name w:val="header"/>
    <w:basedOn w:val="Normal"/>
    <w:link w:val="HeaderChar"/>
    <w:uiPriority w:val="99"/>
    <w:unhideWhenUsed/>
    <w:rsid w:val="00C3541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3541D"/>
  </w:style>
  <w:style w:type="paragraph" w:styleId="Footer">
    <w:name w:val="footer"/>
    <w:basedOn w:val="Normal"/>
    <w:link w:val="FooterChar"/>
    <w:uiPriority w:val="99"/>
    <w:unhideWhenUsed/>
    <w:rsid w:val="00C3541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3541D"/>
  </w:style>
  <w:style w:type="paragraph" w:styleId="BalloonText">
    <w:name w:val="Balloon Text"/>
    <w:basedOn w:val="Normal"/>
    <w:link w:val="BalloonTextChar"/>
    <w:uiPriority w:val="99"/>
    <w:semiHidden/>
    <w:unhideWhenUsed/>
    <w:rsid w:val="00C013C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3C0"/>
    <w:rPr>
      <w:rFonts w:ascii="Tahoma" w:hAnsi="Tahoma" w:cs="Tahoma"/>
      <w:sz w:val="16"/>
      <w:szCs w:val="16"/>
    </w:rPr>
  </w:style>
  <w:style w:type="character" w:customStyle="1" w:styleId="Heading1Char">
    <w:name w:val="Heading 1 Char"/>
    <w:basedOn w:val="DefaultParagraphFont"/>
    <w:link w:val="Heading1"/>
    <w:uiPriority w:val="9"/>
    <w:rsid w:val="002C10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C100D"/>
    <w:pPr>
      <w:ind w:left="0"/>
      <w:outlineLvl w:val="9"/>
    </w:pPr>
    <w:rPr>
      <w:lang w:val="en-US" w:eastAsia="ja-JP"/>
    </w:rPr>
  </w:style>
  <w:style w:type="paragraph" w:styleId="TOC2">
    <w:name w:val="toc 2"/>
    <w:basedOn w:val="Normal"/>
    <w:next w:val="Normal"/>
    <w:autoRedefine/>
    <w:uiPriority w:val="39"/>
    <w:unhideWhenUsed/>
    <w:qFormat/>
    <w:rsid w:val="002C100D"/>
    <w:pPr>
      <w:spacing w:before="0"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2C100D"/>
    <w:pPr>
      <w:spacing w:before="0" w:after="100"/>
      <w:ind w:left="0"/>
    </w:pPr>
    <w:rPr>
      <w:rFonts w:eastAsiaTheme="minorEastAsia"/>
      <w:lang w:val="en-US" w:eastAsia="ja-JP"/>
    </w:rPr>
  </w:style>
  <w:style w:type="paragraph" w:styleId="TOC3">
    <w:name w:val="toc 3"/>
    <w:basedOn w:val="Normal"/>
    <w:next w:val="Normal"/>
    <w:autoRedefine/>
    <w:uiPriority w:val="39"/>
    <w:semiHidden/>
    <w:unhideWhenUsed/>
    <w:qFormat/>
    <w:rsid w:val="002C100D"/>
    <w:pPr>
      <w:spacing w:before="0" w:after="100"/>
      <w:ind w:left="440"/>
    </w:pPr>
    <w:rPr>
      <w:rFonts w:eastAsiaTheme="minorEastAsia"/>
      <w:lang w:val="en-US" w:eastAsia="ja-JP"/>
    </w:rPr>
  </w:style>
  <w:style w:type="character" w:styleId="Hyperlink">
    <w:name w:val="Hyperlink"/>
    <w:basedOn w:val="DefaultParagraphFont"/>
    <w:uiPriority w:val="99"/>
    <w:unhideWhenUsed/>
    <w:rsid w:val="002C100D"/>
    <w:rPr>
      <w:color w:val="0000FF" w:themeColor="hyperlink"/>
      <w:u w:val="single"/>
    </w:rPr>
  </w:style>
  <w:style w:type="paragraph" w:styleId="NormalWeb">
    <w:name w:val="Normal (Web)"/>
    <w:basedOn w:val="Normal"/>
    <w:uiPriority w:val="99"/>
    <w:unhideWhenUsed/>
    <w:rsid w:val="00B51D74"/>
    <w:pPr>
      <w:spacing w:before="100" w:beforeAutospacing="1" w:after="100" w:afterAutospacing="1" w:line="240" w:lineRule="auto"/>
      <w:ind w:left="0"/>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00471-7C9C-42D8-B622-708E2B19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5880</Words>
  <Characters>33517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HammondCare</Company>
  <LinksUpToDate>false</LinksUpToDate>
  <CharactersWithSpaces>39319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dc:creator>
  <cp:lastModifiedBy>davidc</cp:lastModifiedBy>
  <cp:revision>4</cp:revision>
  <cp:lastPrinted>2012-01-09T23:16:00Z</cp:lastPrinted>
  <dcterms:created xsi:type="dcterms:W3CDTF">2012-01-27T05:48:00Z</dcterms:created>
  <dcterms:modified xsi:type="dcterms:W3CDTF">2012-02-08T03:14:00Z</dcterms:modified>
</cp:coreProperties>
</file>